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FF22C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 xml:space="preserve">JAVNA USTANOVA ZA UPRAVLJANJE </w:t>
      </w:r>
    </w:p>
    <w:p w14:paraId="3C0A6664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>CENTROM ZA POSJETITELJE GAREŠNICA</w:t>
      </w:r>
    </w:p>
    <w:p w14:paraId="7606CD16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>Kolodvorska 2</w:t>
      </w:r>
    </w:p>
    <w:p w14:paraId="7DF6BF1F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>43280 Garešnica</w:t>
      </w:r>
    </w:p>
    <w:p w14:paraId="7E0F0B75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>OIB: 97626732662</w:t>
      </w:r>
    </w:p>
    <w:p w14:paraId="223789CE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47AE78E1" w14:textId="4D5A9CD2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 xml:space="preserve">KLASA: </w:t>
      </w:r>
      <w:r w:rsidR="007426E2" w:rsidRPr="002C66C6">
        <w:rPr>
          <w:color w:val="000000"/>
        </w:rPr>
        <w:t xml:space="preserve"> </w:t>
      </w:r>
      <w:r w:rsidR="005B60CB">
        <w:rPr>
          <w:color w:val="000000"/>
        </w:rPr>
        <w:t>400-01/23-01/02</w:t>
      </w:r>
    </w:p>
    <w:p w14:paraId="0B602FCD" w14:textId="3E9405FF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 xml:space="preserve">URBROJ: </w:t>
      </w:r>
      <w:r w:rsidR="005B60CB">
        <w:rPr>
          <w:color w:val="000000"/>
        </w:rPr>
        <w:t>2103-4-4-23-3</w:t>
      </w:r>
    </w:p>
    <w:p w14:paraId="041679B5" w14:textId="2D199FC1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 xml:space="preserve">Garešnica, </w:t>
      </w:r>
      <w:r w:rsidR="005B60CB">
        <w:rPr>
          <w:color w:val="000000"/>
        </w:rPr>
        <w:t>29.4.2024.</w:t>
      </w:r>
    </w:p>
    <w:p w14:paraId="6D47CB00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643AC51" w14:textId="77777777" w:rsidR="006D164A" w:rsidRPr="002C66C6" w:rsidRDefault="006D164A" w:rsidP="006D164A">
      <w:pPr>
        <w:pStyle w:val="tekst"/>
        <w:spacing w:before="0" w:beforeAutospacing="0" w:after="0" w:afterAutospacing="0"/>
        <w:jc w:val="right"/>
        <w:rPr>
          <w:color w:val="000000"/>
        </w:rPr>
      </w:pPr>
      <w:r w:rsidRPr="002C66C6">
        <w:rPr>
          <w:color w:val="000000"/>
        </w:rPr>
        <w:t xml:space="preserve">Upravni odjel za društvene djelatnosti, </w:t>
      </w:r>
    </w:p>
    <w:p w14:paraId="1D36A03B" w14:textId="77777777" w:rsidR="006D164A" w:rsidRPr="002C66C6" w:rsidRDefault="006D164A" w:rsidP="006D164A">
      <w:pPr>
        <w:pStyle w:val="tekst"/>
        <w:spacing w:before="0" w:beforeAutospacing="0" w:after="0" w:afterAutospacing="0"/>
        <w:jc w:val="right"/>
        <w:rPr>
          <w:color w:val="000000"/>
        </w:rPr>
      </w:pPr>
      <w:r w:rsidRPr="002C66C6">
        <w:rPr>
          <w:color w:val="000000"/>
        </w:rPr>
        <w:t>imovinu i opće poslove</w:t>
      </w:r>
    </w:p>
    <w:p w14:paraId="53ADB433" w14:textId="77777777" w:rsidR="006D164A" w:rsidRPr="002C66C6" w:rsidRDefault="006D164A" w:rsidP="006D164A">
      <w:pPr>
        <w:pStyle w:val="tekst"/>
        <w:spacing w:before="0" w:beforeAutospacing="0" w:after="0" w:afterAutospacing="0"/>
        <w:jc w:val="right"/>
        <w:rPr>
          <w:color w:val="000000"/>
        </w:rPr>
      </w:pPr>
      <w:r w:rsidRPr="002C66C6">
        <w:rPr>
          <w:color w:val="000000"/>
        </w:rPr>
        <w:t xml:space="preserve">                                                                              Grad Garešnica</w:t>
      </w:r>
    </w:p>
    <w:p w14:paraId="53F19A5E" w14:textId="77777777" w:rsidR="0092532F" w:rsidRPr="002C66C6" w:rsidRDefault="0092532F">
      <w:pPr>
        <w:rPr>
          <w:rFonts w:ascii="Times New Roman" w:hAnsi="Times New Roman" w:cs="Times New Roman"/>
        </w:rPr>
      </w:pPr>
    </w:p>
    <w:p w14:paraId="0C4E853C" w14:textId="56CE686F" w:rsidR="006D164A" w:rsidRPr="002C66C6" w:rsidRDefault="006D164A" w:rsidP="006D164A">
      <w:pPr>
        <w:pStyle w:val="tekst"/>
        <w:spacing w:before="0" w:beforeAutospacing="0" w:after="0" w:afterAutospacing="0"/>
        <w:rPr>
          <w:color w:val="000000"/>
        </w:rPr>
      </w:pPr>
      <w:r w:rsidRPr="002C66C6">
        <w:rPr>
          <w:b/>
          <w:bCs/>
          <w:color w:val="000000"/>
        </w:rPr>
        <w:t>Predmet</w:t>
      </w:r>
      <w:r w:rsidRPr="002C66C6">
        <w:rPr>
          <w:color w:val="000000"/>
        </w:rPr>
        <w:t>: I. Izmjene Financijskog plana za 202</w:t>
      </w:r>
      <w:r w:rsidR="007426E2" w:rsidRPr="002C66C6">
        <w:rPr>
          <w:color w:val="000000"/>
        </w:rPr>
        <w:t>4</w:t>
      </w:r>
      <w:r w:rsidRPr="002C66C6">
        <w:rPr>
          <w:color w:val="000000"/>
        </w:rPr>
        <w:t xml:space="preserve">. za Javnu ustanovu Garešnica </w:t>
      </w:r>
    </w:p>
    <w:p w14:paraId="5831273D" w14:textId="77777777" w:rsidR="006D164A" w:rsidRPr="002C66C6" w:rsidRDefault="006D164A">
      <w:pPr>
        <w:rPr>
          <w:rFonts w:ascii="Times New Roman" w:hAnsi="Times New Roman" w:cs="Times New Roman"/>
        </w:rPr>
      </w:pPr>
    </w:p>
    <w:p w14:paraId="145150DE" w14:textId="77777777" w:rsidR="006D164A" w:rsidRPr="002C66C6" w:rsidRDefault="006D164A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164A" w:rsidRPr="002C66C6" w14:paraId="711E2DBA" w14:textId="77777777" w:rsidTr="006D164A">
        <w:trPr>
          <w:trHeight w:val="28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A885D" w14:textId="1F6ABDD8" w:rsidR="006D164A" w:rsidRPr="002C66C6" w:rsidRDefault="006D164A" w:rsidP="00097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I</w:t>
            </w:r>
            <w:r w:rsidR="007426E2"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Izmjene Plana proračuna za 202</w:t>
            </w:r>
            <w:r w:rsidR="007426E2"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4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  <w:r w:rsidR="005B60CB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god</w:t>
            </w:r>
            <w:r w:rsidR="005B60CB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6D164A" w:rsidRPr="002C66C6" w14:paraId="3629D1E0" w14:textId="77777777" w:rsidTr="006D164A">
        <w:trPr>
          <w:trHeight w:val="28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361755" w14:textId="77777777" w:rsidR="006D164A" w:rsidRPr="002C66C6" w:rsidRDefault="006D164A" w:rsidP="00097BD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</w:rPr>
            </w:pPr>
            <w:r w:rsidRPr="002C66C6">
              <w:rPr>
                <w:rFonts w:ascii="Times New Roman" w:eastAsia="Arial" w:hAnsi="Times New Roman" w:cs="Times New Roman"/>
                <w:bCs/>
                <w:color w:val="000000"/>
                <w:sz w:val="24"/>
              </w:rPr>
              <w:t>OPĆI DIO</w:t>
            </w:r>
          </w:p>
        </w:tc>
      </w:tr>
    </w:tbl>
    <w:p w14:paraId="319A7133" w14:textId="77777777" w:rsidR="006D164A" w:rsidRPr="002C66C6" w:rsidRDefault="006D164A">
      <w:pPr>
        <w:rPr>
          <w:rFonts w:ascii="Times New Roman" w:hAnsi="Times New Roman" w:cs="Times New Roman"/>
        </w:rPr>
      </w:pPr>
    </w:p>
    <w:tbl>
      <w:tblPr>
        <w:tblW w:w="9122" w:type="dxa"/>
        <w:tblLook w:val="04A0" w:firstRow="1" w:lastRow="0" w:firstColumn="1" w:lastColumn="0" w:noHBand="0" w:noVBand="1"/>
      </w:tblPr>
      <w:tblGrid>
        <w:gridCol w:w="416"/>
        <w:gridCol w:w="3462"/>
        <w:gridCol w:w="251"/>
        <w:gridCol w:w="1696"/>
        <w:gridCol w:w="1017"/>
        <w:gridCol w:w="914"/>
        <w:gridCol w:w="1366"/>
      </w:tblGrid>
      <w:tr w:rsidR="00105672" w:rsidRPr="00105672" w14:paraId="65CE02BA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24108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5AF11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9ECE0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3513" w14:textId="77777777" w:rsidR="00105672" w:rsidRPr="00105672" w:rsidRDefault="00105672" w:rsidP="0010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</w:t>
            </w:r>
          </w:p>
        </w:tc>
      </w:tr>
      <w:tr w:rsidR="00105672" w:rsidRPr="00105672" w14:paraId="3351A65B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B77D5" w14:textId="77777777" w:rsidR="00105672" w:rsidRPr="00105672" w:rsidRDefault="00105672" w:rsidP="0010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ED31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16DE" w14:textId="77777777" w:rsidR="00105672" w:rsidRPr="00105672" w:rsidRDefault="00105672" w:rsidP="0010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2009D" w14:textId="77777777" w:rsidR="00105672" w:rsidRPr="00105672" w:rsidRDefault="00105672" w:rsidP="0010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IZNOS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E6931" w14:textId="77777777" w:rsidR="00105672" w:rsidRPr="00105672" w:rsidRDefault="00105672" w:rsidP="0010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(%)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654D8" w14:textId="77777777" w:rsidR="00105672" w:rsidRPr="00105672" w:rsidRDefault="00105672" w:rsidP="0010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105672" w:rsidRPr="00105672" w14:paraId="2E52F64A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BA43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A.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187F0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8D5BB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C5513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8BA8F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9AEC9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05672" w:rsidRPr="00105672" w14:paraId="5DE692D3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F413D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68F2A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EF51A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176.000,00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DE527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17.205,01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CC2A2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9.8%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3CD44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193.205,01</w:t>
            </w:r>
          </w:p>
        </w:tc>
      </w:tr>
      <w:tr w:rsidR="00105672" w:rsidRPr="00105672" w14:paraId="135BD0B2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A2C8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0D5B4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34EC1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11F67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6B5D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9AA6C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05672" w:rsidRPr="00105672" w14:paraId="5986C367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FFE0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20B97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38A2E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150.000,00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8D6F7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18.060,00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B6373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12.0%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30294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168.060,00</w:t>
            </w:r>
          </w:p>
        </w:tc>
      </w:tr>
      <w:tr w:rsidR="00105672" w:rsidRPr="00105672" w14:paraId="75279292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325E1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0EBF2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8A07F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1EC19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B4B41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2FB19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26.000,00</w:t>
            </w:r>
          </w:p>
        </w:tc>
      </w:tr>
      <w:tr w:rsidR="00105672" w:rsidRPr="00105672" w14:paraId="4C18FC55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ED67D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3F2B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RAZLIKA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F3294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44F6D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-854,99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7E583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C8F0F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-854,99</w:t>
            </w:r>
          </w:p>
        </w:tc>
      </w:tr>
      <w:tr w:rsidR="00105672" w:rsidRPr="00105672" w14:paraId="6FD425E2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5171A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4328F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48A5C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F9B5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928E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750D1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05672" w:rsidRPr="00105672" w14:paraId="444E7928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E45A4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B.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265D6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9CAF7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C21E6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48ED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373CE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05672" w:rsidRPr="00105672" w14:paraId="36F3454A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ACCC6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8839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CA057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FF4D5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0774E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DC2B3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05672" w:rsidRPr="00105672" w14:paraId="44619247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EFE4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0C6A9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20A26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C3BF4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4EC0F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0F55C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05672" w:rsidRPr="00105672" w14:paraId="1C14ED99" w14:textId="77777777" w:rsidTr="00105672">
        <w:trPr>
          <w:trHeight w:val="32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58F0C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B6B9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79851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B55B5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3EB61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9AE00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05672" w:rsidRPr="00105672" w14:paraId="03122130" w14:textId="77777777" w:rsidTr="00105672">
        <w:trPr>
          <w:trHeight w:val="74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BD7E1" w14:textId="77777777" w:rsidR="00105672" w:rsidRPr="00105672" w:rsidRDefault="00105672" w:rsidP="001056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5AFA7" w14:textId="77777777" w:rsidR="00105672" w:rsidRPr="00105672" w:rsidRDefault="00105672" w:rsidP="00105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05623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54698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-854,99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212CD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100%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83DA7" w14:textId="77777777" w:rsidR="00105672" w:rsidRPr="00105672" w:rsidRDefault="00105672" w:rsidP="001056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056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-854,99</w:t>
            </w:r>
          </w:p>
        </w:tc>
      </w:tr>
    </w:tbl>
    <w:p w14:paraId="3EAEFA89" w14:textId="77777777" w:rsidR="006D164A" w:rsidRDefault="006D164A">
      <w:pPr>
        <w:rPr>
          <w:rFonts w:ascii="Times New Roman" w:hAnsi="Times New Roman" w:cs="Times New Roman"/>
        </w:rPr>
      </w:pPr>
    </w:p>
    <w:p w14:paraId="4C02C620" w14:textId="77777777" w:rsidR="0055706A" w:rsidRPr="002C66C6" w:rsidRDefault="0055706A">
      <w:pPr>
        <w:rPr>
          <w:rFonts w:ascii="Times New Roman" w:hAnsi="Times New Roman" w:cs="Times New Roman"/>
        </w:rPr>
      </w:pPr>
    </w:p>
    <w:tbl>
      <w:tblPr>
        <w:tblW w:w="1516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"/>
        <w:gridCol w:w="1019"/>
        <w:gridCol w:w="7130"/>
        <w:gridCol w:w="1148"/>
        <w:gridCol w:w="469"/>
        <w:gridCol w:w="174"/>
        <w:gridCol w:w="505"/>
        <w:gridCol w:w="138"/>
        <w:gridCol w:w="293"/>
        <w:gridCol w:w="75"/>
        <w:gridCol w:w="643"/>
        <w:gridCol w:w="3374"/>
      </w:tblGrid>
      <w:tr w:rsidR="006D164A" w:rsidRPr="002C66C6" w14:paraId="3DF9990B" w14:textId="77777777" w:rsidTr="00DB5964">
        <w:trPr>
          <w:gridAfter w:val="1"/>
          <w:wAfter w:w="6090" w:type="dxa"/>
          <w:trHeight w:val="2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6A7354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D731A9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8F98E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278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AAC2A1" w14:textId="074CACC0" w:rsidR="006D164A" w:rsidRPr="002C66C6" w:rsidRDefault="006D164A" w:rsidP="0009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64A" w:rsidRPr="002C66C6" w14:paraId="0BEF34B5" w14:textId="77777777" w:rsidTr="00DB5964">
        <w:trPr>
          <w:gridAfter w:val="1"/>
          <w:wAfter w:w="6090" w:type="dxa"/>
          <w:trHeight w:val="2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10CE5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097A3A" w14:textId="77777777" w:rsidR="006D164A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  <w:p w14:paraId="1569FD37" w14:textId="77777777" w:rsidR="008E4F87" w:rsidRDefault="008E4F87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  <w:p w14:paraId="2B087520" w14:textId="77777777" w:rsidR="008E4F87" w:rsidRPr="002C66C6" w:rsidRDefault="008E4F87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820E7C" w14:textId="6F9E18FE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729E49" w14:textId="172B3507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2F3E71" w14:textId="4C5C9775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7B72C8" w14:textId="238BFC59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D164A" w:rsidRPr="002C66C6" w14:paraId="46FDEC57" w14:textId="77777777" w:rsidTr="00DB5964">
        <w:trPr>
          <w:gridAfter w:val="1"/>
          <w:wAfter w:w="6090" w:type="dxa"/>
          <w:trHeight w:val="9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C5B341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257ACAF6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C90D11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72CE1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17632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3060C9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D164A" w:rsidRPr="002C66C6" w14:paraId="56E0E559" w14:textId="77777777" w:rsidTr="00DB5964">
        <w:trPr>
          <w:gridAfter w:val="1"/>
          <w:wAfter w:w="6090" w:type="dxa"/>
          <w:trHeight w:val="2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609FF9" w14:textId="536367F6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13E5C92F" w14:textId="1F31C51B" w:rsidR="008401B2" w:rsidRPr="002C66C6" w:rsidRDefault="008401B2" w:rsidP="0009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3CC9D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D9A40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033C6D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31FDC2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D164A" w:rsidRPr="002C66C6" w14:paraId="436E99D1" w14:textId="77777777" w:rsidTr="00DB5964">
        <w:trPr>
          <w:gridAfter w:val="1"/>
          <w:wAfter w:w="6090" w:type="dxa"/>
          <w:trHeight w:val="14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0CCB7A6D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F8AA80B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9258" w:type="dxa"/>
              <w:tblLook w:val="04A0" w:firstRow="1" w:lastRow="0" w:firstColumn="1" w:lastColumn="0" w:noHBand="0" w:noVBand="1"/>
            </w:tblPr>
            <w:tblGrid>
              <w:gridCol w:w="977"/>
              <w:gridCol w:w="3102"/>
              <w:gridCol w:w="1286"/>
              <w:gridCol w:w="1206"/>
              <w:gridCol w:w="361"/>
              <w:gridCol w:w="767"/>
              <w:gridCol w:w="234"/>
              <w:gridCol w:w="222"/>
              <w:gridCol w:w="869"/>
              <w:gridCol w:w="12"/>
              <w:gridCol w:w="222"/>
            </w:tblGrid>
            <w:tr w:rsidR="00105672" w:rsidRPr="00105672" w14:paraId="570AC369" w14:textId="77777777" w:rsidTr="00055844">
              <w:trPr>
                <w:trHeight w:val="105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99CF1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E69635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D1BC2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EDDA1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968F0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4BBE58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1F2E2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5FBBCB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41F9A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D5461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055844" w:rsidRPr="00105672" w14:paraId="799A2B0D" w14:textId="77777777" w:rsidTr="00055844">
              <w:trPr>
                <w:gridAfter w:val="2"/>
                <w:wAfter w:w="232" w:type="dxa"/>
                <w:trHeight w:val="128"/>
              </w:trPr>
              <w:tc>
                <w:tcPr>
                  <w:tcW w:w="977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F7797F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3113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FCDB9E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279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823E79" w14:textId="77777777" w:rsidR="00105672" w:rsidRPr="00105672" w:rsidRDefault="00105672" w:rsidP="001056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3657" w:type="dxa"/>
                  <w:gridSpan w:val="6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A38E63" w14:textId="7C435F24" w:rsidR="00105672" w:rsidRPr="00105672" w:rsidRDefault="00105672" w:rsidP="001056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PROMJENA</w:t>
                  </w:r>
                </w:p>
              </w:tc>
            </w:tr>
            <w:tr w:rsidR="00105672" w:rsidRPr="00105672" w14:paraId="6FAC96A9" w14:textId="77777777" w:rsidTr="00055844">
              <w:trPr>
                <w:gridAfter w:val="2"/>
                <w:wAfter w:w="232" w:type="dxa"/>
                <w:trHeight w:val="212"/>
              </w:trPr>
              <w:tc>
                <w:tcPr>
                  <w:tcW w:w="977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728FAE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BROJ KONTA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FEC6BA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VRSTA PRIHODA / RASHODA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1A901B" w14:textId="77777777" w:rsidR="00105672" w:rsidRPr="00105672" w:rsidRDefault="00105672" w:rsidP="001056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PLANIRANO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7410A" w14:textId="77777777" w:rsidR="00105672" w:rsidRPr="00105672" w:rsidRDefault="00105672" w:rsidP="000558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IZNOS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26DF53" w14:textId="77777777" w:rsidR="00105672" w:rsidRPr="00105672" w:rsidRDefault="00105672" w:rsidP="000558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(%)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521997" w14:textId="77777777" w:rsidR="00105672" w:rsidRPr="00105672" w:rsidRDefault="00105672" w:rsidP="001056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NOVI IZNOS</w:t>
                  </w:r>
                </w:p>
              </w:tc>
            </w:tr>
            <w:tr w:rsidR="00105672" w:rsidRPr="00105672" w14:paraId="2B87F9C4" w14:textId="77777777" w:rsidTr="00055844">
              <w:trPr>
                <w:gridAfter w:val="2"/>
                <w:wAfter w:w="232" w:type="dxa"/>
                <w:trHeight w:val="128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1CC54F" w14:textId="77777777" w:rsidR="00105672" w:rsidRPr="00105672" w:rsidRDefault="00105672" w:rsidP="0010567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CA418A" w14:textId="77777777" w:rsidR="00105672" w:rsidRPr="00105672" w:rsidRDefault="00105672" w:rsidP="001056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411CCE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FAE43B" w14:textId="77777777" w:rsidR="00105672" w:rsidRPr="00105672" w:rsidRDefault="00105672" w:rsidP="001056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12534C" w14:textId="77777777" w:rsidR="00105672" w:rsidRPr="00105672" w:rsidRDefault="00105672" w:rsidP="001056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12565E" w14:textId="77777777" w:rsidR="00105672" w:rsidRPr="00105672" w:rsidRDefault="00105672" w:rsidP="001056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105672" w:rsidRPr="00105672" w14:paraId="0CBE2A71" w14:textId="77777777" w:rsidTr="00055844">
              <w:trPr>
                <w:gridAfter w:val="2"/>
                <w:wAfter w:w="231" w:type="dxa"/>
                <w:trHeight w:val="128"/>
              </w:trPr>
              <w:tc>
                <w:tcPr>
                  <w:tcW w:w="53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14:paraId="1A858EBA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A. RAČUN PRIHODA I RASHODA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14:paraId="10C123BB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14:paraId="5C846C36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14:paraId="5F38450F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 </w:t>
                  </w:r>
                </w:p>
              </w:tc>
            </w:tr>
            <w:tr w:rsidR="00105672" w:rsidRPr="00105672" w14:paraId="321438A6" w14:textId="77777777" w:rsidTr="00055844">
              <w:trPr>
                <w:gridAfter w:val="2"/>
                <w:wAfter w:w="232" w:type="dxa"/>
                <w:trHeight w:val="128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766EEA4B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181F36C2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00847F88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176.000,00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761D29B8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17.205,01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57D66337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9.8%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56A92599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193.205,01</w:t>
                  </w:r>
                </w:p>
              </w:tc>
            </w:tr>
            <w:tr w:rsidR="00105672" w:rsidRPr="00105672" w14:paraId="1631290A" w14:textId="77777777" w:rsidTr="00055844">
              <w:trPr>
                <w:gridAfter w:val="2"/>
                <w:wAfter w:w="232" w:type="dxa"/>
                <w:trHeight w:val="205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CDF885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C3D358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8FA652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EC58FB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1E49B6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FE8B41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105672" w:rsidRPr="00105672" w14:paraId="5DB52D38" w14:textId="77777777" w:rsidTr="00055844">
              <w:trPr>
                <w:gridAfter w:val="2"/>
                <w:wAfter w:w="232" w:type="dxa"/>
                <w:trHeight w:val="212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0011BD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66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B566D6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Prihodi od prodaje proizvoda i robe te pruženih usluga, prihodi od donacija i povrati po protestira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36FE3A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11.000,00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C3D2C8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4.955,01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7A2915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45.0%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86F016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15.955,01</w:t>
                  </w:r>
                </w:p>
              </w:tc>
            </w:tr>
            <w:tr w:rsidR="00105672" w:rsidRPr="00105672" w14:paraId="1B9CD6A2" w14:textId="77777777" w:rsidTr="00055844">
              <w:trPr>
                <w:gridAfter w:val="2"/>
                <w:wAfter w:w="232" w:type="dxa"/>
                <w:trHeight w:val="243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94A426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67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6A0160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C382DD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115.000,00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801A99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12.250,00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892FE7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10.7%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FFA654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127.250,00</w:t>
                  </w:r>
                </w:p>
              </w:tc>
            </w:tr>
            <w:tr w:rsidR="00105672" w:rsidRPr="00105672" w14:paraId="43819253" w14:textId="77777777" w:rsidTr="00055844">
              <w:trPr>
                <w:gridAfter w:val="2"/>
                <w:wAfter w:w="232" w:type="dxa"/>
                <w:trHeight w:val="128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6AE2D0D4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1A7235E7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2A8A8D26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2055C76B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18.060,00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15D01AD5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6BA21160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168.060,00</w:t>
                  </w:r>
                </w:p>
              </w:tc>
            </w:tr>
            <w:tr w:rsidR="00105672" w:rsidRPr="00105672" w14:paraId="63F22EE4" w14:textId="77777777" w:rsidTr="00055844">
              <w:trPr>
                <w:gridAfter w:val="2"/>
                <w:wAfter w:w="232" w:type="dxa"/>
                <w:trHeight w:val="128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D75D22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1CB92B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F87BF6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81.700,00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B8884D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51B616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6.1%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C321BE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86.700,00</w:t>
                  </w:r>
                </w:p>
              </w:tc>
            </w:tr>
            <w:tr w:rsidR="00105672" w:rsidRPr="00105672" w14:paraId="240A771D" w14:textId="77777777" w:rsidTr="00055844">
              <w:trPr>
                <w:gridAfter w:val="2"/>
                <w:wAfter w:w="232" w:type="dxa"/>
                <w:trHeight w:val="128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FDDBDC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E86A81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4A99B4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68.100,00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F742C3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13.060,00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C931C5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19.2%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872104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81.160,00</w:t>
                  </w:r>
                </w:p>
              </w:tc>
            </w:tr>
            <w:tr w:rsidR="00105672" w:rsidRPr="00105672" w14:paraId="3B11D47E" w14:textId="77777777" w:rsidTr="00055844">
              <w:trPr>
                <w:gridAfter w:val="2"/>
                <w:wAfter w:w="232" w:type="dxa"/>
                <w:trHeight w:val="128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885326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EABAD0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0D8784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14B782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D0C712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71FD5F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200,00</w:t>
                  </w:r>
                </w:p>
              </w:tc>
            </w:tr>
            <w:tr w:rsidR="00105672" w:rsidRPr="00105672" w14:paraId="203085C7" w14:textId="77777777" w:rsidTr="00055844">
              <w:trPr>
                <w:gridAfter w:val="2"/>
                <w:wAfter w:w="232" w:type="dxa"/>
                <w:trHeight w:val="128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3611BB58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614CE314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5DB05460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26.000,00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50A1C61C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6939F4D7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14:paraId="6F72BFAF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b/>
                      <w:bCs/>
                      <w:color w:val="FFFFFF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26.000,00</w:t>
                  </w:r>
                </w:p>
              </w:tc>
            </w:tr>
            <w:tr w:rsidR="00105672" w:rsidRPr="00105672" w14:paraId="77442A75" w14:textId="77777777" w:rsidTr="00055844">
              <w:trPr>
                <w:gridAfter w:val="2"/>
                <w:wAfter w:w="232" w:type="dxa"/>
                <w:trHeight w:val="224"/>
              </w:trPr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88D7AC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C693B0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1C953E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26.000,00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962362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D83D1C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0.0%</w:t>
                  </w:r>
                </w:p>
              </w:tc>
              <w:tc>
                <w:tcPr>
                  <w:tcW w:w="1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AD167A" w14:textId="77777777" w:rsidR="00105672" w:rsidRPr="00105672" w:rsidRDefault="00105672" w:rsidP="0010567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10567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26.000,00</w:t>
                  </w:r>
                </w:p>
              </w:tc>
            </w:tr>
          </w:tbl>
          <w:p w14:paraId="75245B12" w14:textId="781B7B05" w:rsidR="00ED0D99" w:rsidRPr="002C66C6" w:rsidRDefault="00ED0D99" w:rsidP="0009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EC6B994" w14:textId="5DE011E6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8CA15F0" w14:textId="3834D51A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7BB89AB6" w14:textId="137630A5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4142223" w14:textId="27982954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D164A" w:rsidRPr="002C66C6" w14:paraId="1B8418EB" w14:textId="77777777" w:rsidTr="00DB5964">
        <w:trPr>
          <w:gridAfter w:val="1"/>
          <w:wAfter w:w="6090" w:type="dxa"/>
          <w:trHeight w:val="14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050FBF92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4834F2F2" w14:textId="169AB200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258FC84" w14:textId="79C1B070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ADC1C30" w14:textId="7E4D6251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93214D0" w14:textId="53B5BE2B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1552BF4" w14:textId="514B602F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D164A" w:rsidRPr="002C66C6" w14:paraId="31CF1B1F" w14:textId="77777777" w:rsidTr="00DB5964">
        <w:trPr>
          <w:gridAfter w:val="1"/>
          <w:wAfter w:w="6090" w:type="dxa"/>
          <w:trHeight w:val="14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5BCAAB7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49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0617FAF" w14:textId="77777777" w:rsidR="005C4FA6" w:rsidRDefault="005C4FA6" w:rsidP="0009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458B23" w14:textId="77777777" w:rsidR="005C4FA6" w:rsidRDefault="005C4FA6" w:rsidP="0009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A2A489" w14:textId="77777777" w:rsidR="005C4FA6" w:rsidRDefault="005C4FA6" w:rsidP="0009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EE02ED" w14:textId="7B395C0E" w:rsidR="005C4FA6" w:rsidRPr="002C66C6" w:rsidRDefault="005C4FA6" w:rsidP="00097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2F30CC6" w14:textId="6507E717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13DD722" w14:textId="7A6A8F49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3C72E69A" w14:textId="14A0DDD2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F058514" w14:textId="47AB6079" w:rsidR="006D164A" w:rsidRPr="002C66C6" w:rsidRDefault="006D164A" w:rsidP="00097BD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D164A" w:rsidRPr="002C66C6" w14:paraId="779D51F5" w14:textId="77777777" w:rsidTr="00DB5964">
        <w:trPr>
          <w:gridAfter w:val="1"/>
          <w:wAfter w:w="6090" w:type="dxa"/>
          <w:trHeight w:val="281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758AD0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50BF7" w14:textId="77777777" w:rsidR="006D164A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  <w:p w14:paraId="4786A900" w14:textId="77777777" w:rsidR="008401B2" w:rsidRDefault="008401B2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  <w:p w14:paraId="165B51AA" w14:textId="77777777" w:rsidR="008401B2" w:rsidRPr="002C66C6" w:rsidRDefault="008401B2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58A33A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7AB1F4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0994DC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A0B71A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D164A" w:rsidRPr="002C66C6" w14:paraId="70A0A2A0" w14:textId="77777777" w:rsidTr="00D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516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18B10" w14:textId="26985334" w:rsidR="006D164A" w:rsidRPr="002C66C6" w:rsidRDefault="006D164A" w:rsidP="006D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                                    I</w:t>
            </w:r>
            <w:r w:rsidR="0078464D"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Izmjene Plana proračuna za 202</w:t>
            </w:r>
            <w:r w:rsidR="0078464D"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4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.god</w:t>
            </w:r>
          </w:p>
        </w:tc>
      </w:tr>
    </w:tbl>
    <w:p w14:paraId="51DA2FFA" w14:textId="77777777" w:rsidR="006D164A" w:rsidRPr="002C66C6" w:rsidRDefault="006D164A" w:rsidP="006D164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</w:rPr>
      </w:pPr>
      <w:r w:rsidRPr="002C66C6">
        <w:rPr>
          <w:rFonts w:ascii="Times New Roman" w:eastAsia="Arial" w:hAnsi="Times New Roman" w:cs="Times New Roman"/>
          <w:b/>
          <w:color w:val="000000"/>
          <w:sz w:val="20"/>
        </w:rPr>
        <w:t>POSEBNI DIO</w:t>
      </w:r>
    </w:p>
    <w:p w14:paraId="6C1887B4" w14:textId="77777777" w:rsidR="006D164A" w:rsidRPr="002C66C6" w:rsidRDefault="006D164A" w:rsidP="006D164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497"/>
        <w:gridCol w:w="2843"/>
        <w:gridCol w:w="1141"/>
        <w:gridCol w:w="1105"/>
        <w:gridCol w:w="1105"/>
        <w:gridCol w:w="1069"/>
      </w:tblGrid>
      <w:tr w:rsidR="00055844" w:rsidRPr="00055844" w14:paraId="5ADFA224" w14:textId="77777777" w:rsidTr="00055844">
        <w:trPr>
          <w:trHeight w:val="540"/>
        </w:trPr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D164F8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1B3F34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54A82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C48A9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06485B" w14:textId="77777777" w:rsidR="00055844" w:rsidRPr="00055844" w:rsidRDefault="00055844" w:rsidP="00055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(%)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12A20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055844" w:rsidRPr="00055844" w14:paraId="615EBCF5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05C1B9D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89C3C62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CC58074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FDD979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18.060,00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30C5CB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10,26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C4D6D1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</w:tr>
      <w:tr w:rsidR="00055844" w:rsidRPr="00055844" w14:paraId="65CB9AF3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A83E64A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1264BDA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353888B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4E0C55E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E008F0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67C336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127.250,00</w:t>
            </w:r>
          </w:p>
        </w:tc>
      </w:tr>
      <w:tr w:rsidR="00055844" w:rsidRPr="00055844" w14:paraId="3E3D3E40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4F045B81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06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75374E0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JAVNA USTANOVA ZA UPRAVLJANJE CENTROM ZA POSJETITELJE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65B997DE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1C040F5E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62CE5C5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21B8811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127.250,00</w:t>
            </w:r>
          </w:p>
        </w:tc>
      </w:tr>
      <w:tr w:rsidR="00055844" w:rsidRPr="00055844" w14:paraId="53DFCBE6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4E89F07F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Glavni program 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1CDC0A6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GRAD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4088228E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41A2753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10774102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4A05998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127.250,00</w:t>
            </w:r>
          </w:p>
        </w:tc>
      </w:tr>
      <w:tr w:rsidR="00055844" w:rsidRPr="00055844" w14:paraId="0182860A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B9E1A0F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014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B5A93AF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Poticanje razvoja turizma i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CE05912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5C5DFB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324DAC2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7E9057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127.250,00</w:t>
            </w:r>
          </w:p>
        </w:tc>
      </w:tr>
      <w:tr w:rsidR="00055844" w:rsidRPr="00055844" w14:paraId="5460EFFD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75CEAC7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2A7902A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Redovna djelatnost Javne ustanove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1525F4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01D277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97F5F6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67C29E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115.250,00</w:t>
            </w:r>
          </w:p>
        </w:tc>
      </w:tr>
      <w:tr w:rsidR="00055844" w:rsidRPr="00055844" w14:paraId="1CC9F938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3B206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1665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039D4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81.700,00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7372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DBC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AA6B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86.700,00</w:t>
            </w:r>
          </w:p>
        </w:tc>
      </w:tr>
      <w:tr w:rsidR="00055844" w:rsidRPr="00055844" w14:paraId="14936750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AAB2B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5196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7AD7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EDD2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E7C9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34,20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E648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28.450,00</w:t>
            </w:r>
          </w:p>
        </w:tc>
      </w:tr>
      <w:tr w:rsidR="00055844" w:rsidRPr="00055844" w14:paraId="1B7055C4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F25F3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DCD3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78D1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D016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C8A6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D9D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055844" w:rsidRPr="00055844" w14:paraId="04F2D688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F970450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F8D4F2D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Redovno održavanje objekta Javne ustanove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B232A3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F177B0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2D705A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E015A52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055844" w:rsidRPr="00055844" w14:paraId="56A5550F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CD19B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1BF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7F24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767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D83D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7070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055844" w:rsidRPr="00055844" w14:paraId="7FA0CD66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FBCFF2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0959226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Redovno održavanje opreme i prijevoznih sredstava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51495DE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1C64C3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F671A2D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163E04D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055844" w:rsidRPr="00055844" w14:paraId="3F306970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4C3AE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CD58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685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55E8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10F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0EA1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055844" w:rsidRPr="00055844" w14:paraId="312BC746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F49D0AB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K101404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DD707F1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Opremanje Javne ustanove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D58578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122D1F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FDE27ED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8AEB39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055844" w:rsidRPr="00055844" w14:paraId="7FE514B2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9D18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FABA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95BA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90D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6E976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228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</w:tr>
      <w:tr w:rsidR="00055844" w:rsidRPr="00055844" w14:paraId="1FCD1DAE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1257E794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3.1.2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15BD66E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 - PRORAČUNSKI KORISNIK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B3E269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2A5BF0A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4.955,01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242D4464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77A5697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15.955,01</w:t>
            </w:r>
          </w:p>
        </w:tc>
      </w:tr>
      <w:tr w:rsidR="00055844" w:rsidRPr="00055844" w14:paraId="0FA011ED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1AF86F75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06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47D8ADC6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JAVNA USTANOVA ZA UPRAVLJANJE CENTROM ZA POSJETITELJE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5E8F6FB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3FBD200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4.955,01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5581E1D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72C1CB4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15.955,01</w:t>
            </w:r>
          </w:p>
        </w:tc>
      </w:tr>
      <w:tr w:rsidR="00055844" w:rsidRPr="00055844" w14:paraId="0E85B277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0ADC6E51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Glavni program 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4580DC43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GRAD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7B8ED11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30F7C4D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4.955,01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2C46EDD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381EBEAD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15.955,01</w:t>
            </w:r>
          </w:p>
        </w:tc>
      </w:tr>
      <w:tr w:rsidR="00055844" w:rsidRPr="00055844" w14:paraId="3DA5DCC2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A1C3AE0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014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80B6D54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Poticanje razvoja turizma i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96E1412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F04C73D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4.955,01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55C3AB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E444F6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15.955,01</w:t>
            </w:r>
          </w:p>
        </w:tc>
      </w:tr>
      <w:tr w:rsidR="00055844" w:rsidRPr="00055844" w14:paraId="19886AE0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F12D1E0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00A383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Redovna djelatnost Javne ustanove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31B9EE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5AACBB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4.955,01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457261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E5D3A0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15.955,01</w:t>
            </w:r>
          </w:p>
        </w:tc>
      </w:tr>
      <w:tr w:rsidR="00055844" w:rsidRPr="00055844" w14:paraId="504DEDF2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8D3AA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CF4C1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65B5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10.900,00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B008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4.955,01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38C6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D5D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15.855,01</w:t>
            </w:r>
          </w:p>
        </w:tc>
      </w:tr>
      <w:tr w:rsidR="00055844" w:rsidRPr="00055844" w14:paraId="6F284EBF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E4523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F42F5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8726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A3C4D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8301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A8FB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055844" w:rsidRPr="00055844" w14:paraId="528F1984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7861EB8C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F9644EE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INSTITUCIJA I TIJELA EU - KORISNICI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22DF4E0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6BC14E2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71DF8E9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286F57F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055844" w:rsidRPr="00055844" w14:paraId="115C2537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56D2B4EB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06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6C737EA6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JAVNA USTANOVA ZA UPRAVLJANJE CENTROM ZA POSJETITELJE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25CE99F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01F6908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6B122F3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33A9BA4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055844" w:rsidRPr="00055844" w14:paraId="63F2FD8C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170C6648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Glavni program 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51BC8D94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GRAD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4990542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40F98A3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4038AB0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59065B8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055844" w:rsidRPr="00055844" w14:paraId="3B05B12B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BF5CF14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014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20162FB3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Poticanje razvoja turizma i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E309C34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9E536E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977343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D1B4A7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</w:tr>
      <w:tr w:rsidR="00055844" w:rsidRPr="00055844" w14:paraId="693E1766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46A9FF3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9872B9B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Redovna djelatnost Javne ustanove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1A0BC9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E6FBA2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F4661E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A27F064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055844" w:rsidRPr="00055844" w14:paraId="03981068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493A0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0265C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C6AF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073E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32A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678E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</w:tr>
      <w:tr w:rsidR="00055844" w:rsidRPr="00055844" w14:paraId="1A5103A0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BA0FE3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K101404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C007AD1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Opremanje Javne ustanove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74677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1B1006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E69BC5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96B741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055844" w:rsidRPr="00055844" w14:paraId="638409EE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DB3B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B3290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F86C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FFD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D7DD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FD5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</w:tr>
      <w:tr w:rsidR="00055844" w:rsidRPr="00055844" w14:paraId="3D3CFE46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B7DD2D1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50D703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Višak iz prethodnih godina - Javna ustanova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6F96FB7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E391BD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3FEE798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3AB7EE4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</w:tr>
      <w:tr w:rsidR="00055844" w:rsidRPr="00055844" w14:paraId="14D112C7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67F38D28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  06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057B2D8C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JAVNA USTANOVA ZA UPRAVLJANJE CENTROM ZA POSJETITELJE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618F0A8E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4794DA5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348996B2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3C9B9" w:fill="A3C9B9"/>
            <w:vAlign w:val="center"/>
            <w:hideMark/>
          </w:tcPr>
          <w:p w14:paraId="1D67090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</w:tr>
      <w:tr w:rsidR="00055844" w:rsidRPr="00055844" w14:paraId="408C9DA0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33CA249A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Glavni program 01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6CEAE64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GRAD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0A915D2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05AF8AE5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3A7031F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7D3A4C4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</w:tr>
      <w:tr w:rsidR="00055844" w:rsidRPr="00055844" w14:paraId="3E59E891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D87E38E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014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131B606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Poticanje razvoja turizma i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3B20CC56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744BD602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C5DF19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5B0A89E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</w:tr>
      <w:tr w:rsidR="00055844" w:rsidRPr="00055844" w14:paraId="476CC7DE" w14:textId="77777777" w:rsidTr="00055844">
        <w:trPr>
          <w:trHeight w:val="4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A3BE79B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730F27D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Redovna djelatnost Javne ustanove Garešnica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BD35C54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68A082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2868F514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8EB96F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</w:tr>
      <w:tr w:rsidR="00055844" w:rsidRPr="00055844" w14:paraId="6714578D" w14:textId="77777777" w:rsidTr="00055844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62BF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4FDB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66EDD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C0C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C018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426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</w:tr>
    </w:tbl>
    <w:p w14:paraId="1BD9A98D" w14:textId="77777777" w:rsidR="006D164A" w:rsidRPr="002C66C6" w:rsidRDefault="006D164A" w:rsidP="006D164A">
      <w:pPr>
        <w:spacing w:after="0" w:line="240" w:lineRule="auto"/>
        <w:rPr>
          <w:rFonts w:ascii="Times New Roman" w:hAnsi="Times New Roman" w:cs="Times New Roman"/>
        </w:rPr>
      </w:pPr>
    </w:p>
    <w:p w14:paraId="2E1969BD" w14:textId="77777777" w:rsidR="006D164A" w:rsidRDefault="006D164A">
      <w:pPr>
        <w:rPr>
          <w:rFonts w:ascii="Times New Roman" w:hAnsi="Times New Roman" w:cs="Times New Roman"/>
        </w:rPr>
      </w:pPr>
    </w:p>
    <w:p w14:paraId="4C86C6B1" w14:textId="77777777" w:rsidR="008E4F87" w:rsidRDefault="008E4F87">
      <w:pPr>
        <w:rPr>
          <w:rFonts w:ascii="Times New Roman" w:hAnsi="Times New Roman" w:cs="Times New Roman"/>
        </w:rPr>
      </w:pPr>
    </w:p>
    <w:p w14:paraId="3A6A7616" w14:textId="4621DB21" w:rsidR="006D164A" w:rsidRPr="002C66C6" w:rsidRDefault="006D164A" w:rsidP="006D164A">
      <w:pPr>
        <w:jc w:val="center"/>
        <w:rPr>
          <w:rFonts w:ascii="Times New Roman" w:hAnsi="Times New Roman" w:cs="Times New Roman"/>
          <w:b/>
          <w:bCs/>
        </w:rPr>
      </w:pPr>
      <w:r w:rsidRPr="002C66C6">
        <w:rPr>
          <w:rFonts w:ascii="Times New Roman" w:hAnsi="Times New Roman" w:cs="Times New Roman"/>
          <w:b/>
          <w:bCs/>
        </w:rPr>
        <w:t>RASHODI PO FUNKCIJSKOJ KLASIFIKACIJI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1799"/>
        <w:gridCol w:w="2727"/>
        <w:gridCol w:w="1141"/>
        <w:gridCol w:w="1439"/>
        <w:gridCol w:w="1105"/>
        <w:gridCol w:w="1189"/>
      </w:tblGrid>
      <w:tr w:rsidR="00055844" w:rsidRPr="00055844" w14:paraId="092CFB09" w14:textId="77777777" w:rsidTr="00055844">
        <w:trPr>
          <w:trHeight w:val="420"/>
        </w:trPr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405811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7F4A89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5B32C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B6C671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E7BCF6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(%)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48F00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055844" w:rsidRPr="00055844" w14:paraId="25050D02" w14:textId="77777777" w:rsidTr="00055844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DA74E7B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67A8E1B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6AA6CB4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318EABE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18.060,00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DF23B17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0D1A073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</w:tr>
      <w:tr w:rsidR="00055844" w:rsidRPr="00055844" w14:paraId="30B9390C" w14:textId="77777777" w:rsidTr="00055844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4DD0C62A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5D4F1B30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unapređenja stanovanja i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3ED2E9C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3C5FACB2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18.060,00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3D70F8FD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320CD0F6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</w:tr>
      <w:tr w:rsidR="00055844" w:rsidRPr="00055844" w14:paraId="3309B54A" w14:textId="77777777" w:rsidTr="00055844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4CCE465E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206E6927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Razvoj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46C4D15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079EC33B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18.060,00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70B467C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53FD2F3A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</w:tr>
      <w:tr w:rsidR="00055844" w:rsidRPr="00055844" w14:paraId="3056326B" w14:textId="77777777" w:rsidTr="00055844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67C9CF8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459E9BB4" w14:textId="77777777" w:rsidR="00055844" w:rsidRPr="00055844" w:rsidRDefault="00055844" w:rsidP="000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Razvoj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70C81869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176.000,00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475D740C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18.060,00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6739CC98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2F6AD410" w14:textId="77777777" w:rsidR="00055844" w:rsidRPr="00055844" w:rsidRDefault="00055844" w:rsidP="00055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558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</w:tr>
    </w:tbl>
    <w:p w14:paraId="4E487ACA" w14:textId="77777777" w:rsidR="006D164A" w:rsidRDefault="006D164A">
      <w:pPr>
        <w:rPr>
          <w:rFonts w:ascii="Times New Roman" w:hAnsi="Times New Roman" w:cs="Times New Roman"/>
        </w:rPr>
      </w:pPr>
    </w:p>
    <w:p w14:paraId="7D4812DC" w14:textId="77777777" w:rsidR="00055844" w:rsidRDefault="00055844">
      <w:pPr>
        <w:rPr>
          <w:rFonts w:ascii="Times New Roman" w:hAnsi="Times New Roman" w:cs="Times New Roman"/>
        </w:rPr>
      </w:pPr>
    </w:p>
    <w:p w14:paraId="4EDC52B7" w14:textId="77777777" w:rsidR="00055844" w:rsidRDefault="00055844">
      <w:pPr>
        <w:rPr>
          <w:rFonts w:ascii="Times New Roman" w:hAnsi="Times New Roman" w:cs="Times New Roman"/>
        </w:rPr>
      </w:pPr>
    </w:p>
    <w:p w14:paraId="6C1AD309" w14:textId="77777777" w:rsidR="008A7EF2" w:rsidRDefault="008A7EF2">
      <w:pPr>
        <w:rPr>
          <w:rFonts w:ascii="Times New Roman" w:hAnsi="Times New Roman" w:cs="Times New Roman"/>
        </w:rPr>
      </w:pPr>
    </w:p>
    <w:p w14:paraId="3437F183" w14:textId="119727C2" w:rsidR="006D164A" w:rsidRDefault="006D164A" w:rsidP="006D164A">
      <w:pPr>
        <w:jc w:val="center"/>
        <w:rPr>
          <w:rFonts w:ascii="Times New Roman" w:hAnsi="Times New Roman" w:cs="Times New Roman"/>
          <w:b/>
          <w:bCs/>
        </w:rPr>
      </w:pPr>
      <w:r w:rsidRPr="002C66C6">
        <w:rPr>
          <w:rFonts w:ascii="Times New Roman" w:hAnsi="Times New Roman" w:cs="Times New Roman"/>
          <w:b/>
          <w:bCs/>
        </w:rPr>
        <w:lastRenderedPageBreak/>
        <w:t xml:space="preserve">Obrazloženje </w:t>
      </w:r>
      <w:r w:rsidR="00FB65D9">
        <w:rPr>
          <w:rFonts w:ascii="Times New Roman" w:hAnsi="Times New Roman" w:cs="Times New Roman"/>
          <w:b/>
          <w:bCs/>
        </w:rPr>
        <w:t xml:space="preserve">općeg dijela </w:t>
      </w:r>
      <w:r w:rsidRPr="002C66C6">
        <w:rPr>
          <w:rFonts w:ascii="Times New Roman" w:hAnsi="Times New Roman" w:cs="Times New Roman"/>
          <w:b/>
          <w:bCs/>
        </w:rPr>
        <w:t xml:space="preserve">I. </w:t>
      </w:r>
      <w:r w:rsidR="00FB65D9">
        <w:rPr>
          <w:rFonts w:ascii="Times New Roman" w:hAnsi="Times New Roman" w:cs="Times New Roman"/>
          <w:b/>
          <w:bCs/>
        </w:rPr>
        <w:t>i</w:t>
      </w:r>
      <w:r w:rsidRPr="002C66C6">
        <w:rPr>
          <w:rFonts w:ascii="Times New Roman" w:hAnsi="Times New Roman" w:cs="Times New Roman"/>
          <w:b/>
          <w:bCs/>
        </w:rPr>
        <w:t>zmjen</w:t>
      </w:r>
      <w:r w:rsidR="00ED0D99" w:rsidRPr="002C66C6">
        <w:rPr>
          <w:rFonts w:ascii="Times New Roman" w:hAnsi="Times New Roman" w:cs="Times New Roman"/>
          <w:b/>
          <w:bCs/>
        </w:rPr>
        <w:t>a</w:t>
      </w:r>
      <w:r w:rsidRPr="002C66C6">
        <w:rPr>
          <w:rFonts w:ascii="Times New Roman" w:hAnsi="Times New Roman" w:cs="Times New Roman"/>
          <w:b/>
          <w:bCs/>
        </w:rPr>
        <w:t xml:space="preserve"> Financijskog plana za 202</w:t>
      </w:r>
      <w:r w:rsidR="00ED0D99" w:rsidRPr="002C66C6">
        <w:rPr>
          <w:rFonts w:ascii="Times New Roman" w:hAnsi="Times New Roman" w:cs="Times New Roman"/>
          <w:b/>
          <w:bCs/>
        </w:rPr>
        <w:t>4</w:t>
      </w:r>
      <w:r w:rsidRPr="002C66C6">
        <w:rPr>
          <w:rFonts w:ascii="Times New Roman" w:hAnsi="Times New Roman" w:cs="Times New Roman"/>
          <w:b/>
          <w:bCs/>
        </w:rPr>
        <w:t>. godinu</w:t>
      </w:r>
    </w:p>
    <w:p w14:paraId="60B72018" w14:textId="76C577A5" w:rsidR="00032AD8" w:rsidRPr="002C66C6" w:rsidRDefault="006F4652" w:rsidP="00032AD8">
      <w:p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  <w:b/>
          <w:bCs/>
          <w:u w:val="single"/>
        </w:rPr>
        <w:t>PRIHODI</w:t>
      </w:r>
      <w:r w:rsidR="00E94833" w:rsidRPr="002C66C6">
        <w:rPr>
          <w:rFonts w:ascii="Times New Roman" w:hAnsi="Times New Roman" w:cs="Times New Roman"/>
          <w:b/>
          <w:bCs/>
          <w:u w:val="single"/>
        </w:rPr>
        <w:t xml:space="preserve"> </w:t>
      </w:r>
      <w:r w:rsidR="00E94833" w:rsidRPr="002C66C6">
        <w:rPr>
          <w:rFonts w:ascii="Times New Roman" w:hAnsi="Times New Roman" w:cs="Times New Roman"/>
        </w:rPr>
        <w:t xml:space="preserve"> </w:t>
      </w:r>
    </w:p>
    <w:p w14:paraId="6680E387" w14:textId="30208458" w:rsidR="00E45E44" w:rsidRPr="002C66C6" w:rsidRDefault="006D5F68" w:rsidP="00032AD8">
      <w:p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Tekući financijski plan u ukupnom iznosu od 176.000,00 eura povećava se u I. izmjenama financijskog plana za </w:t>
      </w:r>
      <w:r w:rsidR="00055844">
        <w:rPr>
          <w:rFonts w:ascii="Times New Roman" w:hAnsi="Times New Roman" w:cs="Times New Roman"/>
        </w:rPr>
        <w:t>10,26</w:t>
      </w:r>
      <w:r w:rsidR="003A66F2" w:rsidRPr="002C66C6">
        <w:rPr>
          <w:rFonts w:ascii="Times New Roman" w:hAnsi="Times New Roman" w:cs="Times New Roman"/>
        </w:rPr>
        <w:t xml:space="preserve">% odnosno </w:t>
      </w:r>
      <w:r w:rsidR="00055844">
        <w:rPr>
          <w:rFonts w:ascii="Times New Roman" w:hAnsi="Times New Roman" w:cs="Times New Roman"/>
        </w:rPr>
        <w:t>18.060,00</w:t>
      </w:r>
      <w:r w:rsidRPr="002C66C6">
        <w:rPr>
          <w:rFonts w:ascii="Times New Roman" w:hAnsi="Times New Roman" w:cs="Times New Roman"/>
        </w:rPr>
        <w:t xml:space="preserve"> eura što nam daje novi </w:t>
      </w:r>
      <w:r w:rsidR="004E0CDC" w:rsidRPr="002C66C6">
        <w:rPr>
          <w:rFonts w:ascii="Times New Roman" w:hAnsi="Times New Roman" w:cs="Times New Roman"/>
        </w:rPr>
        <w:t xml:space="preserve">iznos od </w:t>
      </w:r>
      <w:r w:rsidR="00055844">
        <w:rPr>
          <w:rFonts w:ascii="Times New Roman" w:hAnsi="Times New Roman" w:cs="Times New Roman"/>
        </w:rPr>
        <w:t>194.060,00</w:t>
      </w:r>
      <w:r w:rsidR="003A66F2" w:rsidRPr="002C66C6">
        <w:rPr>
          <w:rFonts w:ascii="Times New Roman" w:hAnsi="Times New Roman" w:cs="Times New Roman"/>
        </w:rPr>
        <w:t xml:space="preserve"> eura</w:t>
      </w:r>
      <w:r w:rsidR="004E0CDC" w:rsidRPr="002C66C6">
        <w:rPr>
          <w:rFonts w:ascii="Times New Roman" w:hAnsi="Times New Roman" w:cs="Times New Roman"/>
        </w:rPr>
        <w:t xml:space="preserve">. </w:t>
      </w:r>
      <w:r w:rsidRPr="002C66C6">
        <w:rPr>
          <w:rFonts w:ascii="Times New Roman" w:hAnsi="Times New Roman" w:cs="Times New Roman"/>
        </w:rPr>
        <w:t xml:space="preserve">Najveće povećanje prihoda </w:t>
      </w:r>
      <w:r w:rsidR="00124BD7" w:rsidRPr="002C66C6">
        <w:rPr>
          <w:rFonts w:ascii="Times New Roman" w:hAnsi="Times New Roman" w:cs="Times New Roman"/>
        </w:rPr>
        <w:t xml:space="preserve">(ako gledamo po iznosu) </w:t>
      </w:r>
      <w:r w:rsidRPr="002C66C6">
        <w:rPr>
          <w:rFonts w:ascii="Times New Roman" w:hAnsi="Times New Roman" w:cs="Times New Roman"/>
        </w:rPr>
        <w:t xml:space="preserve">su </w:t>
      </w:r>
      <w:r w:rsidR="003A66F2" w:rsidRPr="002C66C6">
        <w:rPr>
          <w:rFonts w:ascii="Times New Roman" w:hAnsi="Times New Roman" w:cs="Times New Roman"/>
        </w:rPr>
        <w:t xml:space="preserve">planirani </w:t>
      </w:r>
      <w:r w:rsidRPr="002C66C6">
        <w:rPr>
          <w:rFonts w:ascii="Times New Roman" w:hAnsi="Times New Roman" w:cs="Times New Roman"/>
        </w:rPr>
        <w:t xml:space="preserve">prihodi iz izvora Opći prihodi i primici (konto 6711) </w:t>
      </w:r>
      <w:r w:rsidR="00124BD7" w:rsidRPr="002C66C6">
        <w:rPr>
          <w:rFonts w:ascii="Times New Roman" w:hAnsi="Times New Roman" w:cs="Times New Roman"/>
        </w:rPr>
        <w:t xml:space="preserve">koji se povećavaju </w:t>
      </w:r>
      <w:r w:rsidRPr="002C66C6">
        <w:rPr>
          <w:rFonts w:ascii="Times New Roman" w:hAnsi="Times New Roman" w:cs="Times New Roman"/>
        </w:rPr>
        <w:t>za</w:t>
      </w:r>
      <w:r w:rsidR="003A66F2" w:rsidRPr="002C66C6">
        <w:rPr>
          <w:rFonts w:ascii="Times New Roman" w:hAnsi="Times New Roman" w:cs="Times New Roman"/>
        </w:rPr>
        <w:t xml:space="preserve"> </w:t>
      </w:r>
      <w:r w:rsidR="008E4F87">
        <w:rPr>
          <w:rFonts w:ascii="Times New Roman" w:hAnsi="Times New Roman" w:cs="Times New Roman"/>
        </w:rPr>
        <w:t>10,65</w:t>
      </w:r>
      <w:r w:rsidR="00055844">
        <w:rPr>
          <w:rFonts w:ascii="Times New Roman" w:hAnsi="Times New Roman" w:cs="Times New Roman"/>
        </w:rPr>
        <w:t>%</w:t>
      </w:r>
      <w:r w:rsidR="003A66F2" w:rsidRPr="002C66C6">
        <w:rPr>
          <w:rFonts w:ascii="Times New Roman" w:hAnsi="Times New Roman" w:cs="Times New Roman"/>
        </w:rPr>
        <w:t xml:space="preserve"> odnosno </w:t>
      </w:r>
      <w:r w:rsidR="00055844">
        <w:rPr>
          <w:rFonts w:ascii="Times New Roman" w:hAnsi="Times New Roman" w:cs="Times New Roman"/>
        </w:rPr>
        <w:t>12.250,00</w:t>
      </w:r>
      <w:r w:rsidR="00124BD7" w:rsidRPr="002C66C6">
        <w:rPr>
          <w:rFonts w:ascii="Times New Roman" w:hAnsi="Times New Roman" w:cs="Times New Roman"/>
        </w:rPr>
        <w:t xml:space="preserve"> eura</w:t>
      </w:r>
      <w:r w:rsidR="008E4F87">
        <w:rPr>
          <w:rFonts w:ascii="Times New Roman" w:hAnsi="Times New Roman" w:cs="Times New Roman"/>
        </w:rPr>
        <w:t>.</w:t>
      </w:r>
      <w:r w:rsidR="00E94833" w:rsidRPr="002C66C6">
        <w:rPr>
          <w:rFonts w:ascii="Times New Roman" w:hAnsi="Times New Roman" w:cs="Times New Roman"/>
        </w:rPr>
        <w:t xml:space="preserve"> </w:t>
      </w:r>
      <w:r w:rsidR="003A66F2" w:rsidRPr="002C66C6">
        <w:rPr>
          <w:rFonts w:ascii="Times New Roman" w:hAnsi="Times New Roman" w:cs="Times New Roman"/>
        </w:rPr>
        <w:t>Unutar izvora Vlastiti prih</w:t>
      </w:r>
      <w:r w:rsidR="00032AD8" w:rsidRPr="002C66C6">
        <w:rPr>
          <w:rFonts w:ascii="Times New Roman" w:hAnsi="Times New Roman" w:cs="Times New Roman"/>
        </w:rPr>
        <w:t>odi</w:t>
      </w:r>
      <w:r w:rsidR="003A66F2" w:rsidRPr="002C66C6">
        <w:rPr>
          <w:rFonts w:ascii="Times New Roman" w:hAnsi="Times New Roman" w:cs="Times New Roman"/>
        </w:rPr>
        <w:t xml:space="preserve"> i primici (661) dolazi do promjene planiranih prihoda</w:t>
      </w:r>
      <w:r w:rsidR="0060073A" w:rsidRPr="002C66C6">
        <w:rPr>
          <w:rFonts w:ascii="Times New Roman" w:hAnsi="Times New Roman" w:cs="Times New Roman"/>
        </w:rPr>
        <w:t xml:space="preserve"> za </w:t>
      </w:r>
      <w:r w:rsidR="00F42C25">
        <w:rPr>
          <w:rFonts w:ascii="Times New Roman" w:hAnsi="Times New Roman" w:cs="Times New Roman"/>
        </w:rPr>
        <w:t>45,0</w:t>
      </w:r>
      <w:r w:rsidR="00055844">
        <w:rPr>
          <w:rFonts w:ascii="Times New Roman" w:hAnsi="Times New Roman" w:cs="Times New Roman"/>
        </w:rPr>
        <w:t>5</w:t>
      </w:r>
      <w:r w:rsidR="00F42C25">
        <w:rPr>
          <w:rFonts w:ascii="Times New Roman" w:hAnsi="Times New Roman" w:cs="Times New Roman"/>
        </w:rPr>
        <w:t xml:space="preserve">% </w:t>
      </w:r>
      <w:r w:rsidR="008E4F87">
        <w:rPr>
          <w:rFonts w:ascii="Times New Roman" w:hAnsi="Times New Roman" w:cs="Times New Roman"/>
        </w:rPr>
        <w:t xml:space="preserve"> </w:t>
      </w:r>
      <w:r w:rsidR="0060073A" w:rsidRPr="002C66C6">
        <w:rPr>
          <w:rFonts w:ascii="Times New Roman" w:hAnsi="Times New Roman" w:cs="Times New Roman"/>
        </w:rPr>
        <w:t xml:space="preserve">odnosno </w:t>
      </w:r>
      <w:r w:rsidR="00F42C25">
        <w:rPr>
          <w:rFonts w:ascii="Times New Roman" w:hAnsi="Times New Roman" w:cs="Times New Roman"/>
        </w:rPr>
        <w:t xml:space="preserve">4.955,01 </w:t>
      </w:r>
      <w:r w:rsidR="0060073A" w:rsidRPr="002C66C6">
        <w:rPr>
          <w:rFonts w:ascii="Times New Roman" w:hAnsi="Times New Roman" w:cs="Times New Roman"/>
        </w:rPr>
        <w:t>eura</w:t>
      </w:r>
      <w:r w:rsidR="003A66F2" w:rsidRPr="002C66C6">
        <w:rPr>
          <w:rFonts w:ascii="Times New Roman" w:hAnsi="Times New Roman" w:cs="Times New Roman"/>
        </w:rPr>
        <w:t xml:space="preserve"> zbog očekivanog priljeva novca od prodaje kino ulaznica </w:t>
      </w:r>
      <w:r w:rsidR="0060073A" w:rsidRPr="002C66C6">
        <w:rPr>
          <w:rFonts w:ascii="Times New Roman" w:hAnsi="Times New Roman" w:cs="Times New Roman"/>
        </w:rPr>
        <w:t xml:space="preserve">– prihodi od pruženih usluga </w:t>
      </w:r>
      <w:r w:rsidR="003A66F2" w:rsidRPr="002C66C6">
        <w:rPr>
          <w:rFonts w:ascii="Times New Roman" w:hAnsi="Times New Roman" w:cs="Times New Roman"/>
        </w:rPr>
        <w:t>(6615)</w:t>
      </w:r>
      <w:r w:rsidR="00E94833" w:rsidRPr="002C66C6">
        <w:rPr>
          <w:rFonts w:ascii="Times New Roman" w:hAnsi="Times New Roman" w:cs="Times New Roman"/>
        </w:rPr>
        <w:t xml:space="preserve">. </w:t>
      </w:r>
      <w:r w:rsidR="00E45E44" w:rsidRPr="002C66C6">
        <w:rPr>
          <w:rFonts w:ascii="Times New Roman" w:hAnsi="Times New Roman" w:cs="Times New Roman"/>
        </w:rPr>
        <w:t xml:space="preserve">Povećanje prihoda odnosi se na </w:t>
      </w:r>
      <w:r w:rsidR="00124BD7" w:rsidRPr="002C66C6">
        <w:rPr>
          <w:rFonts w:ascii="Times New Roman" w:hAnsi="Times New Roman" w:cs="Times New Roman"/>
        </w:rPr>
        <w:t>povećanje r</w:t>
      </w:r>
      <w:r w:rsidR="00E45E44" w:rsidRPr="002C66C6">
        <w:rPr>
          <w:rFonts w:ascii="Times New Roman" w:hAnsi="Times New Roman" w:cs="Times New Roman"/>
        </w:rPr>
        <w:t>ashod</w:t>
      </w:r>
      <w:r w:rsidR="00124BD7" w:rsidRPr="002C66C6">
        <w:rPr>
          <w:rFonts w:ascii="Times New Roman" w:hAnsi="Times New Roman" w:cs="Times New Roman"/>
        </w:rPr>
        <w:t>a</w:t>
      </w:r>
      <w:r w:rsidR="00E45E44" w:rsidRPr="002C66C6">
        <w:rPr>
          <w:rFonts w:ascii="Times New Roman" w:hAnsi="Times New Roman" w:cs="Times New Roman"/>
        </w:rPr>
        <w:t xml:space="preserve"> koje je potrebno financirati kako bi se održala redovna djelatnost Javne ustanove i omogućilo pokretanje kino projekcija za prikaz filmova u svrhu povećanog zadovoljstva građana Grada Garešnice i okolnih mjesta. </w:t>
      </w:r>
    </w:p>
    <w:p w14:paraId="5EC81C22" w14:textId="6F093E61" w:rsidR="00E94833" w:rsidRPr="002C66C6" w:rsidRDefault="00E94833" w:rsidP="00F077E9">
      <w:pPr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  <w:b/>
          <w:bCs/>
        </w:rPr>
        <w:t>Raspoloživa sredstva iz prethodnih godin</w:t>
      </w:r>
      <w:r w:rsidR="00F077E9">
        <w:rPr>
          <w:rFonts w:ascii="Times New Roman" w:hAnsi="Times New Roman" w:cs="Times New Roman"/>
          <w:b/>
          <w:bCs/>
        </w:rPr>
        <w:t>a</w:t>
      </w:r>
      <w:r w:rsidR="00B2333B" w:rsidRPr="002C66C6">
        <w:rPr>
          <w:rFonts w:ascii="Times New Roman" w:hAnsi="Times New Roman" w:cs="Times New Roman"/>
          <w:b/>
          <w:bCs/>
        </w:rPr>
        <w:br/>
      </w:r>
      <w:r w:rsidR="00124BD7" w:rsidRPr="002C66C6">
        <w:rPr>
          <w:rFonts w:ascii="Times New Roman" w:hAnsi="Times New Roman" w:cs="Times New Roman"/>
        </w:rPr>
        <w:t>I</w:t>
      </w:r>
      <w:r w:rsidR="003672A4">
        <w:rPr>
          <w:rFonts w:ascii="Times New Roman" w:hAnsi="Times New Roman" w:cs="Times New Roman"/>
        </w:rPr>
        <w:t xml:space="preserve">. </w:t>
      </w:r>
      <w:r w:rsidR="004E11B3" w:rsidRPr="002C66C6">
        <w:rPr>
          <w:rFonts w:ascii="Times New Roman" w:hAnsi="Times New Roman" w:cs="Times New Roman"/>
        </w:rPr>
        <w:t>izmjenama financijskog plana predlaže se da se namjenski višak</w:t>
      </w:r>
      <w:r w:rsidR="00B2333B" w:rsidRPr="002C66C6">
        <w:rPr>
          <w:rFonts w:ascii="Times New Roman" w:hAnsi="Times New Roman" w:cs="Times New Roman"/>
        </w:rPr>
        <w:t xml:space="preserve"> Vlastitih sredstava</w:t>
      </w:r>
      <w:r w:rsidR="004E11B3" w:rsidRPr="002C66C6">
        <w:rPr>
          <w:rFonts w:ascii="Times New Roman" w:hAnsi="Times New Roman" w:cs="Times New Roman"/>
        </w:rPr>
        <w:t xml:space="preserve"> iz prethodne 2023. godine u iznosu od </w:t>
      </w:r>
      <w:r w:rsidR="00F42C25">
        <w:rPr>
          <w:rFonts w:ascii="Times New Roman" w:hAnsi="Times New Roman" w:cs="Times New Roman"/>
        </w:rPr>
        <w:t>854,99</w:t>
      </w:r>
      <w:r w:rsidR="004E11B3" w:rsidRPr="002C66C6">
        <w:rPr>
          <w:rFonts w:ascii="Times New Roman" w:hAnsi="Times New Roman" w:cs="Times New Roman"/>
        </w:rPr>
        <w:t xml:space="preserve"> eura utroši na R470-2 (3233) Usluge promidžbe i informiranja.</w:t>
      </w:r>
    </w:p>
    <w:p w14:paraId="7C503155" w14:textId="77777777" w:rsidR="00124BD7" w:rsidRPr="002C66C6" w:rsidRDefault="00124BD7" w:rsidP="00CE1EFB">
      <w:pPr>
        <w:jc w:val="both"/>
        <w:rPr>
          <w:rFonts w:ascii="Times New Roman" w:hAnsi="Times New Roman" w:cs="Times New Roman"/>
          <w:color w:val="FF0000"/>
        </w:rPr>
      </w:pPr>
    </w:p>
    <w:p w14:paraId="504972ED" w14:textId="2887C9A9" w:rsidR="00CE1EFB" w:rsidRPr="002C66C6" w:rsidRDefault="006F4652" w:rsidP="00CE1EF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C66C6">
        <w:rPr>
          <w:rFonts w:ascii="Times New Roman" w:hAnsi="Times New Roman" w:cs="Times New Roman"/>
          <w:b/>
          <w:bCs/>
          <w:u w:val="single"/>
        </w:rPr>
        <w:t>RASHODI</w:t>
      </w:r>
      <w:r w:rsidR="004E0CDC" w:rsidRPr="002C66C6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BC5ABC8" w14:textId="208D66CB" w:rsidR="00E45E44" w:rsidRPr="002C66C6" w:rsidRDefault="006F4652" w:rsidP="00DC5EF5">
      <w:p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Sveukupni planirani rashodi također se povećavaju </w:t>
      </w:r>
      <w:r w:rsidR="00E94833" w:rsidRPr="002C66C6">
        <w:rPr>
          <w:rFonts w:ascii="Times New Roman" w:hAnsi="Times New Roman" w:cs="Times New Roman"/>
        </w:rPr>
        <w:t xml:space="preserve">za </w:t>
      </w:r>
      <w:r w:rsidR="00055844">
        <w:rPr>
          <w:rFonts w:ascii="Times New Roman" w:hAnsi="Times New Roman" w:cs="Times New Roman"/>
        </w:rPr>
        <w:t>10,26</w:t>
      </w:r>
      <w:r w:rsidR="004E11B3" w:rsidRPr="002C66C6">
        <w:rPr>
          <w:rFonts w:ascii="Times New Roman" w:hAnsi="Times New Roman" w:cs="Times New Roman"/>
        </w:rPr>
        <w:t xml:space="preserve">% odnosno </w:t>
      </w:r>
      <w:r w:rsidR="008E4F87">
        <w:rPr>
          <w:rFonts w:ascii="Times New Roman" w:hAnsi="Times New Roman" w:cs="Times New Roman"/>
        </w:rPr>
        <w:t>18.060,00</w:t>
      </w:r>
      <w:r w:rsidRPr="002C66C6">
        <w:rPr>
          <w:rFonts w:ascii="Times New Roman" w:hAnsi="Times New Roman" w:cs="Times New Roman"/>
        </w:rPr>
        <w:t xml:space="preserve"> eura odnosno s planiranih 176.000,00 eura na </w:t>
      </w:r>
      <w:r w:rsidR="004E0CDC" w:rsidRPr="002C66C6">
        <w:rPr>
          <w:rFonts w:ascii="Times New Roman" w:hAnsi="Times New Roman" w:cs="Times New Roman"/>
        </w:rPr>
        <w:t>19</w:t>
      </w:r>
      <w:r w:rsidR="008E4F87">
        <w:rPr>
          <w:rFonts w:ascii="Times New Roman" w:hAnsi="Times New Roman" w:cs="Times New Roman"/>
        </w:rPr>
        <w:t>4.060</w:t>
      </w:r>
      <w:r w:rsidR="004E11B3" w:rsidRPr="002C66C6">
        <w:rPr>
          <w:rFonts w:ascii="Times New Roman" w:hAnsi="Times New Roman" w:cs="Times New Roman"/>
        </w:rPr>
        <w:t xml:space="preserve">,00 </w:t>
      </w:r>
      <w:r w:rsidRPr="002C66C6">
        <w:rPr>
          <w:rFonts w:ascii="Times New Roman" w:hAnsi="Times New Roman" w:cs="Times New Roman"/>
        </w:rPr>
        <w:t xml:space="preserve">eura.  </w:t>
      </w:r>
      <w:r w:rsidR="00DC5EF5" w:rsidRPr="002C66C6">
        <w:rPr>
          <w:rFonts w:ascii="Times New Roman" w:hAnsi="Times New Roman" w:cs="Times New Roman"/>
        </w:rPr>
        <w:t xml:space="preserve"> </w:t>
      </w:r>
    </w:p>
    <w:p w14:paraId="5F31F615" w14:textId="37D404B7" w:rsidR="00DC5EF5" w:rsidRPr="002C66C6" w:rsidRDefault="00DC5EF5" w:rsidP="00DC5EF5">
      <w:p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  <w:u w:val="single"/>
        </w:rPr>
        <w:t>Povećanje</w:t>
      </w:r>
      <w:r w:rsidRPr="002C66C6">
        <w:rPr>
          <w:rFonts w:ascii="Times New Roman" w:hAnsi="Times New Roman" w:cs="Times New Roman"/>
        </w:rPr>
        <w:t xml:space="preserve"> rashoda odnosi se na:</w:t>
      </w:r>
    </w:p>
    <w:p w14:paraId="31BE2A8A" w14:textId="436D180D" w:rsidR="003672A4" w:rsidRDefault="00B00BA7" w:rsidP="008E4F8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3672A4">
        <w:rPr>
          <w:rFonts w:ascii="Times New Roman" w:hAnsi="Times New Roman" w:cs="Times New Roman"/>
          <w:u w:val="single"/>
        </w:rPr>
        <w:t>Rashode za zaposlene</w:t>
      </w:r>
      <w:r w:rsidR="00576F3A" w:rsidRPr="003672A4">
        <w:rPr>
          <w:rFonts w:ascii="Times New Roman" w:hAnsi="Times New Roman" w:cs="Times New Roman"/>
          <w:u w:val="single"/>
        </w:rPr>
        <w:t xml:space="preserve"> (31)</w:t>
      </w:r>
      <w:r w:rsidRPr="003672A4">
        <w:rPr>
          <w:rFonts w:ascii="Times New Roman" w:hAnsi="Times New Roman" w:cs="Times New Roman"/>
          <w:u w:val="single"/>
        </w:rPr>
        <w:t xml:space="preserve">: </w:t>
      </w:r>
    </w:p>
    <w:p w14:paraId="058655DA" w14:textId="77777777" w:rsidR="008E4F87" w:rsidRPr="008E4F87" w:rsidRDefault="008E4F87" w:rsidP="008E4F87">
      <w:pPr>
        <w:pStyle w:val="Odlomakpopisa"/>
        <w:jc w:val="both"/>
        <w:rPr>
          <w:rFonts w:ascii="Times New Roman" w:hAnsi="Times New Roman" w:cs="Times New Roman"/>
          <w:u w:val="single"/>
        </w:rPr>
      </w:pPr>
    </w:p>
    <w:p w14:paraId="32A47AFF" w14:textId="77777777" w:rsidR="00AC15E0" w:rsidRPr="002C66C6" w:rsidRDefault="00E45E44" w:rsidP="00B00BA7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R462 </w:t>
      </w:r>
      <w:r w:rsidR="00DC5EF5" w:rsidRPr="002C66C6">
        <w:rPr>
          <w:rFonts w:ascii="Times New Roman" w:hAnsi="Times New Roman" w:cs="Times New Roman"/>
        </w:rPr>
        <w:t>Ostal</w:t>
      </w:r>
      <w:r w:rsidR="006F4652" w:rsidRPr="002C66C6">
        <w:rPr>
          <w:rFonts w:ascii="Times New Roman" w:hAnsi="Times New Roman" w:cs="Times New Roman"/>
        </w:rPr>
        <w:t>i</w:t>
      </w:r>
      <w:r w:rsidR="00DC5EF5" w:rsidRPr="002C66C6">
        <w:rPr>
          <w:rFonts w:ascii="Times New Roman" w:hAnsi="Times New Roman" w:cs="Times New Roman"/>
        </w:rPr>
        <w:t xml:space="preserve"> rashod</w:t>
      </w:r>
      <w:r w:rsidR="006F4652" w:rsidRPr="002C66C6">
        <w:rPr>
          <w:rFonts w:ascii="Times New Roman" w:hAnsi="Times New Roman" w:cs="Times New Roman"/>
        </w:rPr>
        <w:t>i</w:t>
      </w:r>
      <w:r w:rsidR="00DC5EF5" w:rsidRPr="002C66C6">
        <w:rPr>
          <w:rFonts w:ascii="Times New Roman" w:hAnsi="Times New Roman" w:cs="Times New Roman"/>
        </w:rPr>
        <w:t xml:space="preserve"> za zaposle</w:t>
      </w:r>
      <w:r w:rsidR="00576F3A" w:rsidRPr="002C66C6">
        <w:rPr>
          <w:rFonts w:ascii="Times New Roman" w:hAnsi="Times New Roman" w:cs="Times New Roman"/>
        </w:rPr>
        <w:t>ne (</w:t>
      </w:r>
      <w:r w:rsidR="00576F3A" w:rsidRPr="002C66C6">
        <w:rPr>
          <w:rFonts w:ascii="Times New Roman" w:hAnsi="Times New Roman" w:cs="Times New Roman"/>
          <w:b/>
          <w:bCs/>
        </w:rPr>
        <w:t>3121</w:t>
      </w:r>
      <w:r w:rsidR="00576F3A" w:rsidRPr="002C66C6">
        <w:rPr>
          <w:rFonts w:ascii="Times New Roman" w:hAnsi="Times New Roman" w:cs="Times New Roman"/>
        </w:rPr>
        <w:t xml:space="preserve">) </w:t>
      </w:r>
      <w:r w:rsidR="00B00BA7" w:rsidRPr="002C66C6">
        <w:rPr>
          <w:rFonts w:ascii="Times New Roman" w:hAnsi="Times New Roman" w:cs="Times New Roman"/>
        </w:rPr>
        <w:t>u iznosu od</w:t>
      </w:r>
      <w:r w:rsidR="00DC5EF5" w:rsidRPr="002C66C6">
        <w:rPr>
          <w:rFonts w:ascii="Times New Roman" w:hAnsi="Times New Roman" w:cs="Times New Roman"/>
        </w:rPr>
        <w:t xml:space="preserve"> </w:t>
      </w:r>
      <w:r w:rsidR="006F4652" w:rsidRPr="002C66C6">
        <w:rPr>
          <w:rFonts w:ascii="Times New Roman" w:hAnsi="Times New Roman" w:cs="Times New Roman"/>
        </w:rPr>
        <w:t>5.0</w:t>
      </w:r>
      <w:r w:rsidR="00DC5EF5" w:rsidRPr="002C66C6">
        <w:rPr>
          <w:rFonts w:ascii="Times New Roman" w:hAnsi="Times New Roman" w:cs="Times New Roman"/>
        </w:rPr>
        <w:t>00,00 eura</w:t>
      </w:r>
      <w:r w:rsidR="00B00BA7" w:rsidRPr="002C66C6">
        <w:rPr>
          <w:rFonts w:ascii="Times New Roman" w:hAnsi="Times New Roman" w:cs="Times New Roman"/>
        </w:rPr>
        <w:t xml:space="preserve">, a povećanje je zbog neplaniranih rashoda za zaposlene u slijed smrtnog slučaja užeg člana obitelji te zbog </w:t>
      </w:r>
      <w:r w:rsidR="004E11B3" w:rsidRPr="002C66C6">
        <w:rPr>
          <w:rFonts w:ascii="Times New Roman" w:hAnsi="Times New Roman" w:cs="Times New Roman"/>
        </w:rPr>
        <w:t>isplate neiskorištenog godišnjeg odmora.</w:t>
      </w:r>
    </w:p>
    <w:p w14:paraId="7C610216" w14:textId="6AEA1E97" w:rsidR="00DC5EF5" w:rsidRDefault="00B6251E" w:rsidP="00AC15E0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Izvor: Opći prihodi i primici</w:t>
      </w:r>
    </w:p>
    <w:p w14:paraId="60894C30" w14:textId="77777777" w:rsidR="003672A4" w:rsidRDefault="003672A4" w:rsidP="003672A4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6A742277" w14:textId="77777777" w:rsidR="00E45E44" w:rsidRPr="002C66C6" w:rsidRDefault="00E45E44" w:rsidP="00E45E44">
      <w:pPr>
        <w:pStyle w:val="Odlomakpopisa"/>
        <w:ind w:left="1440"/>
        <w:jc w:val="both"/>
        <w:rPr>
          <w:rFonts w:ascii="Times New Roman" w:hAnsi="Times New Roman" w:cs="Times New Roman"/>
        </w:rPr>
      </w:pPr>
    </w:p>
    <w:p w14:paraId="7D364583" w14:textId="35C86CFA" w:rsidR="00E42FE0" w:rsidRPr="003672A4" w:rsidRDefault="00E42FE0" w:rsidP="00DC5EF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3672A4">
        <w:rPr>
          <w:rFonts w:ascii="Times New Roman" w:hAnsi="Times New Roman" w:cs="Times New Roman"/>
          <w:u w:val="single"/>
        </w:rPr>
        <w:t>Materijal</w:t>
      </w:r>
      <w:r w:rsidR="00B00BA7" w:rsidRPr="003672A4">
        <w:rPr>
          <w:rFonts w:ascii="Times New Roman" w:hAnsi="Times New Roman" w:cs="Times New Roman"/>
          <w:u w:val="single"/>
        </w:rPr>
        <w:t>ni rashodi</w:t>
      </w:r>
      <w:r w:rsidR="00576F3A" w:rsidRPr="003672A4">
        <w:rPr>
          <w:rFonts w:ascii="Times New Roman" w:hAnsi="Times New Roman" w:cs="Times New Roman"/>
          <w:u w:val="single"/>
        </w:rPr>
        <w:t xml:space="preserve"> (32</w:t>
      </w:r>
      <w:r w:rsidR="00DD140E" w:rsidRPr="003672A4">
        <w:rPr>
          <w:rFonts w:ascii="Times New Roman" w:hAnsi="Times New Roman" w:cs="Times New Roman"/>
          <w:u w:val="single"/>
        </w:rPr>
        <w:t>):</w:t>
      </w:r>
    </w:p>
    <w:p w14:paraId="38A173CE" w14:textId="77777777" w:rsidR="003672A4" w:rsidRDefault="003672A4" w:rsidP="003672A4">
      <w:pPr>
        <w:pStyle w:val="Odlomakpopisa"/>
        <w:jc w:val="both"/>
        <w:rPr>
          <w:rFonts w:ascii="Times New Roman" w:hAnsi="Times New Roman" w:cs="Times New Roman"/>
        </w:rPr>
      </w:pPr>
    </w:p>
    <w:p w14:paraId="27F9AF94" w14:textId="77777777" w:rsidR="00B6251E" w:rsidRPr="002C66C6" w:rsidRDefault="00EB555E" w:rsidP="00EB555E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Otvaranje nove pozicije</w:t>
      </w:r>
      <w:r w:rsidR="00B2333B" w:rsidRPr="002C66C6">
        <w:rPr>
          <w:rFonts w:ascii="Times New Roman" w:hAnsi="Times New Roman" w:cs="Times New Roman"/>
        </w:rPr>
        <w:t xml:space="preserve"> </w:t>
      </w:r>
      <w:r w:rsidR="00B41B92" w:rsidRPr="002C66C6">
        <w:rPr>
          <w:rFonts w:ascii="Times New Roman" w:hAnsi="Times New Roman" w:cs="Times New Roman"/>
        </w:rPr>
        <w:t xml:space="preserve">R613 </w:t>
      </w:r>
      <w:r w:rsidRPr="002C66C6">
        <w:rPr>
          <w:rFonts w:ascii="Times New Roman" w:hAnsi="Times New Roman" w:cs="Times New Roman"/>
        </w:rPr>
        <w:t>Usluge telefona, pošte i prijevoza (</w:t>
      </w:r>
      <w:r w:rsidRPr="002C66C6">
        <w:rPr>
          <w:rFonts w:ascii="Times New Roman" w:hAnsi="Times New Roman" w:cs="Times New Roman"/>
          <w:b/>
          <w:bCs/>
        </w:rPr>
        <w:t>3231</w:t>
      </w:r>
      <w:r w:rsidRPr="002C66C6">
        <w:rPr>
          <w:rFonts w:ascii="Times New Roman" w:hAnsi="Times New Roman" w:cs="Times New Roman"/>
        </w:rPr>
        <w:t>) zbog troškova slanja putem Hrvatske pošte te zbog uvođenja internetske linije u prostor Hrvatskog doma</w:t>
      </w:r>
      <w:r w:rsidR="004E11B3" w:rsidRPr="002C66C6">
        <w:rPr>
          <w:rFonts w:ascii="Times New Roman" w:hAnsi="Times New Roman" w:cs="Times New Roman"/>
        </w:rPr>
        <w:t xml:space="preserve"> u iznosu od 500,00 eura.</w:t>
      </w:r>
    </w:p>
    <w:p w14:paraId="226E259C" w14:textId="72AB12B5" w:rsidR="00EB555E" w:rsidRPr="002C66C6" w:rsidRDefault="00B6251E" w:rsidP="00B6251E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Izvor: Opći prihodi i primici</w:t>
      </w:r>
    </w:p>
    <w:p w14:paraId="248E4181" w14:textId="77777777" w:rsidR="00B6251E" w:rsidRPr="002C66C6" w:rsidRDefault="00B6251E" w:rsidP="00B6251E">
      <w:pPr>
        <w:pStyle w:val="Odlomakpopisa"/>
        <w:ind w:left="1440"/>
        <w:jc w:val="both"/>
        <w:rPr>
          <w:rFonts w:ascii="Times New Roman" w:hAnsi="Times New Roman" w:cs="Times New Roman"/>
        </w:rPr>
      </w:pPr>
    </w:p>
    <w:p w14:paraId="097B27C2" w14:textId="54B0FAB1" w:rsidR="00B6251E" w:rsidRPr="002C66C6" w:rsidRDefault="00EB555E" w:rsidP="00B6251E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Otvaranje nove pozicije</w:t>
      </w:r>
      <w:r w:rsidR="00B2333B" w:rsidRPr="002C66C6">
        <w:rPr>
          <w:rFonts w:ascii="Times New Roman" w:hAnsi="Times New Roman" w:cs="Times New Roman"/>
        </w:rPr>
        <w:t xml:space="preserve"> </w:t>
      </w:r>
      <w:r w:rsidR="00B41B92" w:rsidRPr="002C66C6">
        <w:rPr>
          <w:rFonts w:ascii="Times New Roman" w:hAnsi="Times New Roman" w:cs="Times New Roman"/>
        </w:rPr>
        <w:t>R</w:t>
      </w:r>
      <w:r w:rsidR="004E11B3" w:rsidRPr="002C66C6">
        <w:rPr>
          <w:rFonts w:ascii="Times New Roman" w:hAnsi="Times New Roman" w:cs="Times New Roman"/>
        </w:rPr>
        <w:t>621</w:t>
      </w:r>
      <w:r w:rsidR="00B41B92" w:rsidRPr="002C66C6">
        <w:rPr>
          <w:rFonts w:ascii="Times New Roman" w:hAnsi="Times New Roman" w:cs="Times New Roman"/>
        </w:rPr>
        <w:t xml:space="preserve"> </w:t>
      </w:r>
      <w:r w:rsidRPr="002C66C6">
        <w:rPr>
          <w:rFonts w:ascii="Times New Roman" w:hAnsi="Times New Roman" w:cs="Times New Roman"/>
        </w:rPr>
        <w:t>Zakupnine i najamnine (</w:t>
      </w:r>
      <w:r w:rsidRPr="002C66C6">
        <w:rPr>
          <w:rFonts w:ascii="Times New Roman" w:hAnsi="Times New Roman" w:cs="Times New Roman"/>
          <w:b/>
          <w:bCs/>
        </w:rPr>
        <w:t>3235</w:t>
      </w:r>
      <w:r w:rsidRPr="002C66C6">
        <w:rPr>
          <w:rFonts w:ascii="Times New Roman" w:hAnsi="Times New Roman" w:cs="Times New Roman"/>
        </w:rPr>
        <w:t xml:space="preserve">) u iznosu od </w:t>
      </w:r>
      <w:r w:rsidR="004E11B3" w:rsidRPr="002C66C6">
        <w:rPr>
          <w:rFonts w:ascii="Times New Roman" w:hAnsi="Times New Roman" w:cs="Times New Roman"/>
        </w:rPr>
        <w:t>2.900</w:t>
      </w:r>
      <w:r w:rsidRPr="002C66C6">
        <w:rPr>
          <w:rFonts w:ascii="Times New Roman" w:hAnsi="Times New Roman" w:cs="Times New Roman"/>
        </w:rPr>
        <w:t>,00 eura zbog planiranog najma računala i opreme za optimalan rad kina</w:t>
      </w:r>
      <w:r w:rsidR="00B41B92" w:rsidRPr="002C66C6">
        <w:rPr>
          <w:rFonts w:ascii="Times New Roman" w:hAnsi="Times New Roman" w:cs="Times New Roman"/>
        </w:rPr>
        <w:t xml:space="preserve"> i mogućnosti izdavanja ulaznica</w:t>
      </w:r>
      <w:r w:rsidR="00B6251E" w:rsidRPr="002C66C6">
        <w:rPr>
          <w:rFonts w:ascii="Times New Roman" w:hAnsi="Times New Roman" w:cs="Times New Roman"/>
        </w:rPr>
        <w:t xml:space="preserve">, </w:t>
      </w:r>
      <w:r w:rsidR="00B2333B" w:rsidRPr="002C66C6">
        <w:rPr>
          <w:rFonts w:ascii="Times New Roman" w:hAnsi="Times New Roman" w:cs="Times New Roman"/>
        </w:rPr>
        <w:t xml:space="preserve">zakup filmova - </w:t>
      </w:r>
      <w:r w:rsidR="00E45E44" w:rsidRPr="002C66C6">
        <w:rPr>
          <w:rFonts w:ascii="Times New Roman" w:hAnsi="Times New Roman" w:cs="Times New Roman"/>
        </w:rPr>
        <w:t>trošak Grada.</w:t>
      </w:r>
    </w:p>
    <w:p w14:paraId="4A22C235" w14:textId="727B911E" w:rsidR="00EB555E" w:rsidRPr="002C66C6" w:rsidRDefault="00B6251E" w:rsidP="00B6251E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Izvor: Opći prihodi i primici</w:t>
      </w:r>
    </w:p>
    <w:p w14:paraId="6FBD4AB9" w14:textId="77777777" w:rsidR="00B6251E" w:rsidRPr="002C66C6" w:rsidRDefault="00B6251E" w:rsidP="00B6251E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150253B5" w14:textId="77777777" w:rsidR="00B6251E" w:rsidRPr="002C66C6" w:rsidRDefault="004E11B3" w:rsidP="00E45E44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Otvaranje nove pozicij</w:t>
      </w:r>
      <w:r w:rsidR="00B6251E" w:rsidRPr="002C66C6">
        <w:rPr>
          <w:rFonts w:ascii="Times New Roman" w:hAnsi="Times New Roman" w:cs="Times New Roman"/>
        </w:rPr>
        <w:t xml:space="preserve">e </w:t>
      </w:r>
      <w:r w:rsidRPr="002C66C6">
        <w:rPr>
          <w:rFonts w:ascii="Times New Roman" w:hAnsi="Times New Roman" w:cs="Times New Roman"/>
        </w:rPr>
        <w:t>R621-1 Zakupnine i najamnine (</w:t>
      </w:r>
      <w:r w:rsidRPr="002C66C6">
        <w:rPr>
          <w:rFonts w:ascii="Times New Roman" w:hAnsi="Times New Roman" w:cs="Times New Roman"/>
          <w:b/>
          <w:bCs/>
        </w:rPr>
        <w:t>3235</w:t>
      </w:r>
      <w:r w:rsidRPr="002C66C6">
        <w:rPr>
          <w:rFonts w:ascii="Times New Roman" w:hAnsi="Times New Roman" w:cs="Times New Roman"/>
        </w:rPr>
        <w:t>) u iznosu od 2.900,00 eura zbog planiranog najma računala i opreme za optimalan rad kina i mogućnosti izdavanja ulaznica</w:t>
      </w:r>
      <w:r w:rsidR="00E45E44" w:rsidRPr="002C66C6">
        <w:rPr>
          <w:rFonts w:ascii="Times New Roman" w:hAnsi="Times New Roman" w:cs="Times New Roman"/>
        </w:rPr>
        <w:t>,</w:t>
      </w:r>
      <w:r w:rsidR="00B2333B" w:rsidRPr="002C66C6">
        <w:rPr>
          <w:rFonts w:ascii="Times New Roman" w:hAnsi="Times New Roman" w:cs="Times New Roman"/>
        </w:rPr>
        <w:t xml:space="preserve"> zakup filmova - </w:t>
      </w:r>
      <w:r w:rsidR="00E45E44" w:rsidRPr="002C66C6">
        <w:rPr>
          <w:rFonts w:ascii="Times New Roman" w:hAnsi="Times New Roman" w:cs="Times New Roman"/>
        </w:rPr>
        <w:t xml:space="preserve">trošak Javne ustanove. </w:t>
      </w:r>
    </w:p>
    <w:p w14:paraId="39D96647" w14:textId="57593991" w:rsidR="004E11B3" w:rsidRDefault="00B6251E" w:rsidP="00B6251E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Izvor: Vlastiti prihod</w:t>
      </w:r>
    </w:p>
    <w:p w14:paraId="0F504C61" w14:textId="77777777" w:rsidR="003672A4" w:rsidRPr="002C66C6" w:rsidRDefault="003672A4" w:rsidP="003672A4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05E84791" w14:textId="4BE88FDF" w:rsidR="00B41B92" w:rsidRPr="002C66C6" w:rsidRDefault="00B41B92" w:rsidP="00EB555E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Otvaranje nove pozicije R</w:t>
      </w:r>
      <w:r w:rsidR="004E11B3" w:rsidRPr="002C66C6">
        <w:rPr>
          <w:rFonts w:ascii="Times New Roman" w:hAnsi="Times New Roman" w:cs="Times New Roman"/>
        </w:rPr>
        <w:t>622-1</w:t>
      </w:r>
      <w:r w:rsidRPr="002C66C6">
        <w:rPr>
          <w:rFonts w:ascii="Times New Roman" w:hAnsi="Times New Roman" w:cs="Times New Roman"/>
        </w:rPr>
        <w:t xml:space="preserve"> Članarine i norme (</w:t>
      </w:r>
      <w:r w:rsidRPr="002C66C6">
        <w:rPr>
          <w:rFonts w:ascii="Times New Roman" w:hAnsi="Times New Roman" w:cs="Times New Roman"/>
          <w:b/>
          <w:bCs/>
        </w:rPr>
        <w:t>3294</w:t>
      </w:r>
      <w:r w:rsidRPr="002C66C6">
        <w:rPr>
          <w:rFonts w:ascii="Times New Roman" w:hAnsi="Times New Roman" w:cs="Times New Roman"/>
        </w:rPr>
        <w:t xml:space="preserve">) u iznosu od </w:t>
      </w:r>
      <w:r w:rsidR="004E11B3" w:rsidRPr="002C66C6">
        <w:rPr>
          <w:rFonts w:ascii="Times New Roman" w:hAnsi="Times New Roman" w:cs="Times New Roman"/>
        </w:rPr>
        <w:t>100</w:t>
      </w:r>
      <w:r w:rsidRPr="002C66C6">
        <w:rPr>
          <w:rFonts w:ascii="Times New Roman" w:hAnsi="Times New Roman" w:cs="Times New Roman"/>
        </w:rPr>
        <w:t xml:space="preserve">,00 eura zbog potrebnog učlanjivanja u određene mreže. </w:t>
      </w:r>
    </w:p>
    <w:p w14:paraId="0A90F3B5" w14:textId="04936FE3" w:rsidR="00956B46" w:rsidRDefault="00B6251E" w:rsidP="00956B46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lastRenderedPageBreak/>
        <w:t>Izvor: Opći prihodi i primic</w:t>
      </w:r>
      <w:r w:rsidR="00956B46">
        <w:rPr>
          <w:rFonts w:ascii="Times New Roman" w:hAnsi="Times New Roman" w:cs="Times New Roman"/>
        </w:rPr>
        <w:t>i</w:t>
      </w:r>
    </w:p>
    <w:p w14:paraId="2D0E2575" w14:textId="77777777" w:rsidR="00956B46" w:rsidRPr="00956B46" w:rsidRDefault="00956B46" w:rsidP="00956B46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000398A7" w14:textId="77777777" w:rsidR="00956B46" w:rsidRDefault="00956B46" w:rsidP="00956B46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R463 Službena putovanja</w:t>
      </w:r>
      <w:r w:rsidRPr="003672A4">
        <w:rPr>
          <w:rFonts w:ascii="Times New Roman" w:hAnsi="Times New Roman" w:cs="Times New Roman"/>
          <w:b/>
          <w:bCs/>
        </w:rPr>
        <w:t xml:space="preserve"> (3211)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u iznosu od 500,00 eura, a do povećanja dolazi zbog planiranog odlaska na susret ravnatelja Javnih ustanova u studenom. </w:t>
      </w:r>
    </w:p>
    <w:p w14:paraId="2503E7A8" w14:textId="77777777" w:rsidR="00956B46" w:rsidRDefault="00956B46" w:rsidP="00956B46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21DAD939" w14:textId="77777777" w:rsidR="00956B46" w:rsidRDefault="00956B46" w:rsidP="00956B46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63CC220E" w14:textId="77777777" w:rsidR="00956B46" w:rsidRDefault="00956B46" w:rsidP="00956B46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R467 Stručno usavršavanje zaposlenika </w:t>
      </w:r>
      <w:r w:rsidRPr="003672A4">
        <w:rPr>
          <w:rFonts w:ascii="Times New Roman" w:hAnsi="Times New Roman" w:cs="Times New Roman"/>
          <w:b/>
          <w:bCs/>
        </w:rPr>
        <w:t>(3213)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u iznosu od 500,00 eura, također zbog planiranog odlaska ravnatelja na susret ravnatelja javnih ustanova u studenom. </w:t>
      </w:r>
    </w:p>
    <w:p w14:paraId="29435A14" w14:textId="77777777" w:rsidR="00956B46" w:rsidRPr="002C66C6" w:rsidRDefault="00956B46" w:rsidP="00956B46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Izvor: Opći prihodi i primici</w:t>
      </w:r>
    </w:p>
    <w:p w14:paraId="361117D1" w14:textId="77777777" w:rsidR="00B6251E" w:rsidRPr="00956B46" w:rsidRDefault="00B6251E" w:rsidP="00956B46">
      <w:pPr>
        <w:pStyle w:val="Odlomakpopisa"/>
        <w:ind w:left="1440"/>
        <w:jc w:val="both"/>
        <w:rPr>
          <w:rFonts w:ascii="Times New Roman" w:hAnsi="Times New Roman" w:cs="Times New Roman"/>
        </w:rPr>
      </w:pPr>
    </w:p>
    <w:p w14:paraId="6CFBECA0" w14:textId="48CB7036" w:rsidR="00B41B92" w:rsidRPr="002C66C6" w:rsidRDefault="00B41B92" w:rsidP="00B41B92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R482 </w:t>
      </w:r>
      <w:r w:rsidR="00E45E44" w:rsidRPr="002C66C6">
        <w:rPr>
          <w:rFonts w:ascii="Times New Roman" w:hAnsi="Times New Roman" w:cs="Times New Roman"/>
        </w:rPr>
        <w:t>Računalne usluge</w:t>
      </w:r>
      <w:r w:rsidR="00B2333B" w:rsidRPr="002C66C6">
        <w:rPr>
          <w:rFonts w:ascii="Times New Roman" w:hAnsi="Times New Roman" w:cs="Times New Roman"/>
        </w:rPr>
        <w:t xml:space="preserve"> </w:t>
      </w:r>
      <w:r w:rsidR="00576F3A" w:rsidRPr="002C66C6">
        <w:rPr>
          <w:rFonts w:ascii="Times New Roman" w:hAnsi="Times New Roman" w:cs="Times New Roman"/>
        </w:rPr>
        <w:t>(</w:t>
      </w:r>
      <w:r w:rsidR="00576F3A" w:rsidRPr="002C66C6">
        <w:rPr>
          <w:rFonts w:ascii="Times New Roman" w:hAnsi="Times New Roman" w:cs="Times New Roman"/>
          <w:b/>
          <w:bCs/>
        </w:rPr>
        <w:t>3238</w:t>
      </w:r>
      <w:r w:rsidR="00576F3A" w:rsidRPr="002C66C6">
        <w:rPr>
          <w:rFonts w:ascii="Times New Roman" w:hAnsi="Times New Roman" w:cs="Times New Roman"/>
        </w:rPr>
        <w:t>)</w:t>
      </w:r>
      <w:r w:rsidR="00B00BA7" w:rsidRPr="002C66C6">
        <w:rPr>
          <w:rFonts w:ascii="Times New Roman" w:hAnsi="Times New Roman" w:cs="Times New Roman"/>
        </w:rPr>
        <w:t xml:space="preserve"> u iznosu </w:t>
      </w:r>
      <w:r w:rsidR="00576F3A" w:rsidRPr="002C66C6">
        <w:rPr>
          <w:rFonts w:ascii="Times New Roman" w:hAnsi="Times New Roman" w:cs="Times New Roman"/>
        </w:rPr>
        <w:t>550,00</w:t>
      </w:r>
      <w:r w:rsidR="00B00BA7" w:rsidRPr="002C66C6">
        <w:rPr>
          <w:rFonts w:ascii="Times New Roman" w:hAnsi="Times New Roman" w:cs="Times New Roman"/>
        </w:rPr>
        <w:t xml:space="preserve"> eura zbog neplaniranog rashoda u svezi rada u programu </w:t>
      </w:r>
      <w:proofErr w:type="spellStart"/>
      <w:r w:rsidR="00B00BA7" w:rsidRPr="002C66C6">
        <w:rPr>
          <w:rFonts w:ascii="Times New Roman" w:hAnsi="Times New Roman" w:cs="Times New Roman"/>
        </w:rPr>
        <w:t>Libusoft</w:t>
      </w:r>
      <w:proofErr w:type="spellEnd"/>
      <w:r w:rsidR="00B00BA7" w:rsidRPr="002C66C6">
        <w:rPr>
          <w:rFonts w:ascii="Times New Roman" w:hAnsi="Times New Roman" w:cs="Times New Roman"/>
        </w:rPr>
        <w:t xml:space="preserve"> </w:t>
      </w:r>
      <w:r w:rsidR="00576F3A" w:rsidRPr="002C66C6">
        <w:rPr>
          <w:rFonts w:ascii="Times New Roman" w:hAnsi="Times New Roman" w:cs="Times New Roman"/>
        </w:rPr>
        <w:t xml:space="preserve">i </w:t>
      </w:r>
      <w:r w:rsidR="00B00BA7" w:rsidRPr="002C66C6">
        <w:rPr>
          <w:rFonts w:ascii="Times New Roman" w:hAnsi="Times New Roman" w:cs="Times New Roman"/>
        </w:rPr>
        <w:t>zbog</w:t>
      </w:r>
      <w:r w:rsidR="00576F3A" w:rsidRPr="002C66C6">
        <w:rPr>
          <w:rFonts w:ascii="Times New Roman" w:hAnsi="Times New Roman" w:cs="Times New Roman"/>
        </w:rPr>
        <w:t xml:space="preserve"> planiranih troškova instalacije kase za buduće poslovanje kina. </w:t>
      </w:r>
    </w:p>
    <w:p w14:paraId="77918FAC" w14:textId="2641B066" w:rsidR="00B6251E" w:rsidRPr="002C66C6" w:rsidRDefault="00B6251E" w:rsidP="00B6251E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Izvor: Opći prihodi i primici</w:t>
      </w:r>
    </w:p>
    <w:p w14:paraId="75BDDD7D" w14:textId="77777777" w:rsidR="00B6251E" w:rsidRPr="002C66C6" w:rsidRDefault="00B6251E" w:rsidP="00B6251E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041E4E47" w14:textId="1CB14A46" w:rsidR="00E45E44" w:rsidRPr="002C66C6" w:rsidRDefault="00124BD7" w:rsidP="00B41B92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R483</w:t>
      </w:r>
      <w:r w:rsidR="00E45E44" w:rsidRPr="002C66C6">
        <w:rPr>
          <w:rFonts w:ascii="Times New Roman" w:hAnsi="Times New Roman" w:cs="Times New Roman"/>
        </w:rPr>
        <w:t xml:space="preserve"> Ostali nespomenuti rashodi poslovanja </w:t>
      </w:r>
      <w:r w:rsidR="00B2333B" w:rsidRPr="002C66C6">
        <w:rPr>
          <w:rFonts w:ascii="Times New Roman" w:hAnsi="Times New Roman" w:cs="Times New Roman"/>
        </w:rPr>
        <w:t>(</w:t>
      </w:r>
      <w:r w:rsidR="00B2333B" w:rsidRPr="002C66C6">
        <w:rPr>
          <w:rFonts w:ascii="Times New Roman" w:hAnsi="Times New Roman" w:cs="Times New Roman"/>
          <w:b/>
          <w:bCs/>
        </w:rPr>
        <w:t>3299</w:t>
      </w:r>
      <w:r w:rsidR="00B2333B" w:rsidRPr="002C66C6">
        <w:rPr>
          <w:rFonts w:ascii="Times New Roman" w:hAnsi="Times New Roman" w:cs="Times New Roman"/>
        </w:rPr>
        <w:t xml:space="preserve">) </w:t>
      </w:r>
      <w:r w:rsidR="00E45E44" w:rsidRPr="002C66C6">
        <w:rPr>
          <w:rFonts w:ascii="Times New Roman" w:hAnsi="Times New Roman" w:cs="Times New Roman"/>
        </w:rPr>
        <w:t xml:space="preserve">u iznosu od 800,00 eura.  </w:t>
      </w:r>
    </w:p>
    <w:p w14:paraId="718D83AB" w14:textId="18BAF18B" w:rsidR="003672A4" w:rsidRDefault="00B6251E" w:rsidP="006E04C5">
      <w:pPr>
        <w:pStyle w:val="Odlomakpopisa"/>
        <w:numPr>
          <w:ilvl w:val="2"/>
          <w:numId w:val="2"/>
        </w:numPr>
        <w:ind w:left="1800"/>
        <w:jc w:val="both"/>
        <w:rPr>
          <w:rFonts w:ascii="Times New Roman" w:hAnsi="Times New Roman" w:cs="Times New Roman"/>
        </w:rPr>
      </w:pPr>
      <w:r w:rsidRPr="00956B46">
        <w:rPr>
          <w:rFonts w:ascii="Times New Roman" w:hAnsi="Times New Roman" w:cs="Times New Roman"/>
        </w:rPr>
        <w:t>Izvor: Opći prihodi i primici</w:t>
      </w:r>
    </w:p>
    <w:p w14:paraId="3B576070" w14:textId="77777777" w:rsidR="00956B46" w:rsidRPr="00956B46" w:rsidRDefault="00956B46" w:rsidP="00956B46">
      <w:pPr>
        <w:pStyle w:val="Odlomakpopisa"/>
        <w:ind w:left="1800"/>
        <w:jc w:val="both"/>
        <w:rPr>
          <w:rFonts w:ascii="Times New Roman" w:hAnsi="Times New Roman" w:cs="Times New Roman"/>
        </w:rPr>
      </w:pPr>
    </w:p>
    <w:p w14:paraId="1029291F" w14:textId="77777777" w:rsidR="003672A4" w:rsidRPr="002C66C6" w:rsidRDefault="003672A4" w:rsidP="003672A4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R483-1 Ostali nespomenuti rashodi poslovanja (</w:t>
      </w:r>
      <w:r w:rsidRPr="002C66C6">
        <w:rPr>
          <w:rFonts w:ascii="Times New Roman" w:hAnsi="Times New Roman" w:cs="Times New Roman"/>
          <w:b/>
          <w:bCs/>
        </w:rPr>
        <w:t>3299</w:t>
      </w:r>
      <w:r w:rsidRPr="002C66C6">
        <w:rPr>
          <w:rFonts w:ascii="Times New Roman" w:hAnsi="Times New Roman" w:cs="Times New Roman"/>
        </w:rPr>
        <w:t>) u iznosu od 1.200,00 eura.</w:t>
      </w:r>
    </w:p>
    <w:p w14:paraId="161B3280" w14:textId="77777777" w:rsidR="003672A4" w:rsidRDefault="003672A4" w:rsidP="003672A4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Izvor: Vlastiti prihodi</w:t>
      </w:r>
    </w:p>
    <w:p w14:paraId="7027804B" w14:textId="77777777" w:rsidR="003672A4" w:rsidRDefault="003672A4" w:rsidP="003672A4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32BD6B07" w14:textId="428FAC5B" w:rsidR="003672A4" w:rsidRPr="002C66C6" w:rsidRDefault="003672A4" w:rsidP="003672A4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R470</w:t>
      </w:r>
      <w:r>
        <w:rPr>
          <w:rFonts w:ascii="Times New Roman" w:hAnsi="Times New Roman" w:cs="Times New Roman"/>
        </w:rPr>
        <w:t xml:space="preserve"> </w:t>
      </w:r>
      <w:r w:rsidRPr="002C66C6">
        <w:rPr>
          <w:rFonts w:ascii="Times New Roman" w:hAnsi="Times New Roman" w:cs="Times New Roman"/>
        </w:rPr>
        <w:t xml:space="preserve"> Usluge promidžbe i informiranja (</w:t>
      </w:r>
      <w:r w:rsidRPr="002C66C6">
        <w:rPr>
          <w:rFonts w:ascii="Times New Roman" w:hAnsi="Times New Roman" w:cs="Times New Roman"/>
          <w:b/>
          <w:bCs/>
        </w:rPr>
        <w:t>3233</w:t>
      </w:r>
      <w:r w:rsidRPr="002C66C6">
        <w:rPr>
          <w:rFonts w:ascii="Times New Roman" w:hAnsi="Times New Roman" w:cs="Times New Roman"/>
        </w:rPr>
        <w:t xml:space="preserve">) u iznosu </w:t>
      </w:r>
      <w:r>
        <w:rPr>
          <w:rFonts w:ascii="Times New Roman" w:hAnsi="Times New Roman" w:cs="Times New Roman"/>
        </w:rPr>
        <w:t>1.500,00</w:t>
      </w:r>
      <w:r w:rsidRPr="002C66C6">
        <w:rPr>
          <w:rFonts w:ascii="Times New Roman" w:hAnsi="Times New Roman" w:cs="Times New Roman"/>
        </w:rPr>
        <w:t xml:space="preserve"> eura.</w:t>
      </w:r>
    </w:p>
    <w:p w14:paraId="27BFB3ED" w14:textId="77777777" w:rsidR="003672A4" w:rsidRDefault="003672A4" w:rsidP="003672A4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Izvor: Opći prihodi i primici</w:t>
      </w:r>
    </w:p>
    <w:p w14:paraId="412AEB31" w14:textId="77777777" w:rsidR="003672A4" w:rsidRPr="002C66C6" w:rsidRDefault="003672A4" w:rsidP="003672A4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279F613E" w14:textId="13D8A99B" w:rsidR="003672A4" w:rsidRPr="002C66C6" w:rsidRDefault="003672A4" w:rsidP="003672A4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R470-1 Usluge promidžbe i informiranja (</w:t>
      </w:r>
      <w:r w:rsidRPr="002C66C6">
        <w:rPr>
          <w:rFonts w:ascii="Times New Roman" w:hAnsi="Times New Roman" w:cs="Times New Roman"/>
          <w:b/>
          <w:bCs/>
        </w:rPr>
        <w:t>3233</w:t>
      </w:r>
      <w:r w:rsidRPr="002C66C6">
        <w:rPr>
          <w:rFonts w:ascii="Times New Roman" w:hAnsi="Times New Roman" w:cs="Times New Roman"/>
        </w:rPr>
        <w:t xml:space="preserve">) u iznosu od </w:t>
      </w:r>
      <w:r w:rsidR="00B64E1E">
        <w:rPr>
          <w:rFonts w:ascii="Times New Roman" w:hAnsi="Times New Roman" w:cs="Times New Roman"/>
        </w:rPr>
        <w:t>755,01</w:t>
      </w:r>
      <w:r w:rsidRPr="002C66C6">
        <w:rPr>
          <w:rFonts w:ascii="Times New Roman" w:hAnsi="Times New Roman" w:cs="Times New Roman"/>
        </w:rPr>
        <w:t xml:space="preserve"> eura.</w:t>
      </w:r>
    </w:p>
    <w:p w14:paraId="28623D53" w14:textId="4B00FE7E" w:rsidR="003672A4" w:rsidRDefault="003672A4" w:rsidP="003672A4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Izvor: </w:t>
      </w:r>
      <w:r w:rsidR="008952F2">
        <w:rPr>
          <w:rFonts w:ascii="Times New Roman" w:hAnsi="Times New Roman" w:cs="Times New Roman"/>
        </w:rPr>
        <w:t xml:space="preserve">Vlastiti prihodi </w:t>
      </w:r>
    </w:p>
    <w:p w14:paraId="3C30AF2F" w14:textId="77777777" w:rsidR="003672A4" w:rsidRPr="002C66C6" w:rsidRDefault="003672A4" w:rsidP="003672A4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421F0FEE" w14:textId="3A5D6A54" w:rsidR="003672A4" w:rsidRPr="003672A4" w:rsidRDefault="003672A4" w:rsidP="003672A4">
      <w:pPr>
        <w:pStyle w:val="Odlomakpopisa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3672A4">
        <w:rPr>
          <w:rFonts w:ascii="Times New Roman" w:hAnsi="Times New Roman" w:cs="Times New Roman"/>
        </w:rPr>
        <w:t>R470-2 Usluge promidžbe i informiranja (</w:t>
      </w:r>
      <w:r w:rsidRPr="003672A4">
        <w:rPr>
          <w:rFonts w:ascii="Times New Roman" w:hAnsi="Times New Roman" w:cs="Times New Roman"/>
          <w:b/>
          <w:bCs/>
        </w:rPr>
        <w:t>3233</w:t>
      </w:r>
      <w:r w:rsidRPr="003672A4">
        <w:rPr>
          <w:rFonts w:ascii="Times New Roman" w:hAnsi="Times New Roman" w:cs="Times New Roman"/>
        </w:rPr>
        <w:t xml:space="preserve">) u iznosu od </w:t>
      </w:r>
      <w:r w:rsidR="00B64E1E">
        <w:rPr>
          <w:rFonts w:ascii="Times New Roman" w:hAnsi="Times New Roman" w:cs="Times New Roman"/>
        </w:rPr>
        <w:t>854,99</w:t>
      </w:r>
      <w:r w:rsidRPr="003672A4">
        <w:rPr>
          <w:rFonts w:ascii="Times New Roman" w:hAnsi="Times New Roman" w:cs="Times New Roman"/>
        </w:rPr>
        <w:t xml:space="preserve"> eura.</w:t>
      </w:r>
    </w:p>
    <w:p w14:paraId="3CB3080C" w14:textId="77777777" w:rsidR="003672A4" w:rsidRPr="002C66C6" w:rsidRDefault="003672A4" w:rsidP="003672A4">
      <w:pPr>
        <w:pStyle w:val="Odlomakpopisa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Izvor: Višak vlastitih prihoda iz prethodnih godina</w:t>
      </w:r>
    </w:p>
    <w:p w14:paraId="3DF81BA6" w14:textId="77777777" w:rsidR="00B6251E" w:rsidRPr="002C66C6" w:rsidRDefault="00B6251E" w:rsidP="00B6251E">
      <w:pPr>
        <w:pStyle w:val="Odlomakpopisa"/>
        <w:ind w:left="2160"/>
        <w:jc w:val="both"/>
        <w:rPr>
          <w:rFonts w:ascii="Times New Roman" w:hAnsi="Times New Roman" w:cs="Times New Roman"/>
        </w:rPr>
      </w:pPr>
    </w:p>
    <w:p w14:paraId="62A175DA" w14:textId="77777777" w:rsidR="00696158" w:rsidRDefault="00696158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29A7A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58FB4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8159C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35744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47E8B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64BFB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705A2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E5D28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3A624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7D25C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C9576" w14:textId="77777777" w:rsidR="008A7EF2" w:rsidRDefault="008A7EF2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E871C" w14:textId="77777777" w:rsidR="008A7EF2" w:rsidRDefault="008A7EF2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14F74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1E722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53120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8957F" w14:textId="77777777" w:rsidR="008E4F87" w:rsidRDefault="008E4F87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4E0C2" w14:textId="77777777" w:rsidR="00696158" w:rsidRDefault="00696158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CF7B2" w14:textId="77777777" w:rsidR="00696158" w:rsidRDefault="00696158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C94BD" w14:textId="437F487F" w:rsidR="00893C50" w:rsidRPr="002C66C6" w:rsidRDefault="00893C50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6C6"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="00FB65D9">
        <w:rPr>
          <w:rFonts w:ascii="Times New Roman" w:hAnsi="Times New Roman" w:cs="Times New Roman"/>
          <w:b/>
          <w:bCs/>
          <w:sz w:val="24"/>
          <w:szCs w:val="24"/>
        </w:rPr>
        <w:t>brazloženje posebnog dijela I. izmjena financijskog plana za 2024. godinu</w:t>
      </w:r>
    </w:p>
    <w:p w14:paraId="16C84DBC" w14:textId="77777777" w:rsidR="00EE134B" w:rsidRPr="002C66C6" w:rsidRDefault="00EE134B" w:rsidP="00BE55F3">
      <w:pPr>
        <w:spacing w:after="0"/>
        <w:rPr>
          <w:rFonts w:ascii="Times New Roman" w:hAnsi="Times New Roman" w:cs="Times New Roman"/>
          <w:b/>
          <w:bCs/>
        </w:rPr>
      </w:pPr>
    </w:p>
    <w:p w14:paraId="5FC6B03F" w14:textId="531CE69F" w:rsidR="00BE55F3" w:rsidRPr="002C66C6" w:rsidRDefault="00BE55F3" w:rsidP="00BE55F3">
      <w:pPr>
        <w:spacing w:after="0"/>
        <w:rPr>
          <w:rFonts w:ascii="Times New Roman" w:hAnsi="Times New Roman" w:cs="Times New Roman"/>
          <w:b/>
          <w:bCs/>
        </w:rPr>
      </w:pPr>
      <w:r w:rsidRPr="002C66C6">
        <w:rPr>
          <w:rFonts w:ascii="Times New Roman" w:hAnsi="Times New Roman" w:cs="Times New Roman"/>
          <w:b/>
          <w:bCs/>
        </w:rPr>
        <w:t>PROGRAM</w:t>
      </w:r>
      <w:r w:rsidR="00B4610E" w:rsidRPr="002C66C6">
        <w:rPr>
          <w:rFonts w:ascii="Times New Roman" w:hAnsi="Times New Roman" w:cs="Times New Roman"/>
          <w:b/>
          <w:bCs/>
        </w:rPr>
        <w:t xml:space="preserve"> 014</w:t>
      </w:r>
      <w:r w:rsidRPr="002C66C6">
        <w:rPr>
          <w:rFonts w:ascii="Times New Roman" w:hAnsi="Times New Roman" w:cs="Times New Roman"/>
          <w:b/>
          <w:bCs/>
        </w:rPr>
        <w:t>: Poticanje razvoja turizma i zajednice</w:t>
      </w:r>
    </w:p>
    <w:p w14:paraId="5B39E661" w14:textId="096AAB9F" w:rsidR="00B4610E" w:rsidRDefault="00B4610E" w:rsidP="00BE55F3">
      <w:pPr>
        <w:spacing w:after="0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Promjena procjene i ishodišta potrebnih sredstava za aktivnost unutar programa događa se na: </w:t>
      </w:r>
    </w:p>
    <w:p w14:paraId="7C4BCAC5" w14:textId="77777777" w:rsidR="00FA52C7" w:rsidRDefault="00FA52C7" w:rsidP="00BE55F3">
      <w:pPr>
        <w:spacing w:after="0"/>
        <w:rPr>
          <w:rFonts w:ascii="Times New Roman" w:hAnsi="Times New Roman" w:cs="Times New Roman"/>
        </w:rPr>
      </w:pPr>
    </w:p>
    <w:p w14:paraId="25D806D8" w14:textId="77777777" w:rsidR="00696158" w:rsidRPr="002C66C6" w:rsidRDefault="00696158" w:rsidP="00BE55F3">
      <w:pPr>
        <w:spacing w:after="0"/>
        <w:rPr>
          <w:rFonts w:ascii="Times New Roman" w:hAnsi="Times New Roman" w:cs="Times New Roman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1493"/>
        <w:gridCol w:w="1493"/>
        <w:gridCol w:w="1368"/>
      </w:tblGrid>
      <w:tr w:rsidR="00B4610E" w:rsidRPr="002C66C6" w14:paraId="7481F843" w14:textId="77777777" w:rsidTr="00B4610E">
        <w:trPr>
          <w:trHeight w:val="417"/>
        </w:trPr>
        <w:tc>
          <w:tcPr>
            <w:tcW w:w="4824" w:type="dxa"/>
            <w:shd w:val="clear" w:color="auto" w:fill="BFBFBF"/>
          </w:tcPr>
          <w:p w14:paraId="166C48C7" w14:textId="10224484" w:rsidR="00B4610E" w:rsidRPr="002C66C6" w:rsidRDefault="00B4610E" w:rsidP="00F14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66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Aktivnost</w:t>
            </w:r>
          </w:p>
        </w:tc>
        <w:tc>
          <w:tcPr>
            <w:tcW w:w="1493" w:type="dxa"/>
            <w:shd w:val="clear" w:color="auto" w:fill="BFBFBF"/>
          </w:tcPr>
          <w:p w14:paraId="5330B39D" w14:textId="77777777" w:rsidR="00B4610E" w:rsidRPr="002C66C6" w:rsidRDefault="00B4610E" w:rsidP="00F14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66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 za 2024.</w:t>
            </w:r>
          </w:p>
        </w:tc>
        <w:tc>
          <w:tcPr>
            <w:tcW w:w="1493" w:type="dxa"/>
            <w:shd w:val="clear" w:color="auto" w:fill="BFBFBF"/>
          </w:tcPr>
          <w:p w14:paraId="0E676627" w14:textId="4B23B441" w:rsidR="00B4610E" w:rsidRPr="002C66C6" w:rsidRDefault="00B4610E" w:rsidP="00F14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66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Izmjene</w:t>
            </w:r>
          </w:p>
        </w:tc>
        <w:tc>
          <w:tcPr>
            <w:tcW w:w="1368" w:type="dxa"/>
            <w:shd w:val="clear" w:color="auto" w:fill="BFBFBF"/>
          </w:tcPr>
          <w:p w14:paraId="2FC6B106" w14:textId="6C637193" w:rsidR="00B4610E" w:rsidRPr="002C66C6" w:rsidRDefault="00B4610E" w:rsidP="00F14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66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Novi iznos</w:t>
            </w:r>
          </w:p>
        </w:tc>
      </w:tr>
      <w:tr w:rsidR="00B4610E" w:rsidRPr="002C66C6" w14:paraId="065D99C2" w14:textId="77777777" w:rsidTr="00B4610E">
        <w:trPr>
          <w:trHeight w:val="397"/>
        </w:trPr>
        <w:tc>
          <w:tcPr>
            <w:tcW w:w="4824" w:type="dxa"/>
            <w:shd w:val="clear" w:color="auto" w:fill="auto"/>
          </w:tcPr>
          <w:p w14:paraId="391E0E50" w14:textId="77777777" w:rsidR="00B4610E" w:rsidRPr="002C66C6" w:rsidRDefault="00B4610E" w:rsidP="00F144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66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Aktivnost A101402</w:t>
            </w:r>
            <w:r w:rsidRPr="002C66C6">
              <w:rPr>
                <w:rFonts w:ascii="Times New Roman" w:eastAsia="Times New Roman" w:hAnsi="Times New Roman" w:cs="Times New Roman"/>
                <w:color w:val="000000"/>
              </w:rPr>
              <w:t xml:space="preserve"> Redovna djelatnost Javne ustanove</w:t>
            </w:r>
          </w:p>
        </w:tc>
        <w:tc>
          <w:tcPr>
            <w:tcW w:w="1493" w:type="dxa"/>
            <w:shd w:val="clear" w:color="auto" w:fill="auto"/>
          </w:tcPr>
          <w:p w14:paraId="5117E329" w14:textId="77777777" w:rsidR="00B4610E" w:rsidRPr="002C66C6" w:rsidRDefault="00B4610E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6">
              <w:rPr>
                <w:rFonts w:ascii="Times New Roman" w:eastAsia="Times New Roman" w:hAnsi="Times New Roman" w:cs="Times New Roman"/>
                <w:color w:val="000000"/>
              </w:rPr>
              <w:t>144.000,00</w:t>
            </w:r>
          </w:p>
        </w:tc>
        <w:tc>
          <w:tcPr>
            <w:tcW w:w="1493" w:type="dxa"/>
            <w:shd w:val="clear" w:color="auto" w:fill="auto"/>
          </w:tcPr>
          <w:p w14:paraId="1C727C68" w14:textId="0918A497" w:rsidR="00B4610E" w:rsidRPr="002C66C6" w:rsidRDefault="00B4610E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6">
              <w:rPr>
                <w:rFonts w:ascii="Times New Roman" w:eastAsia="Times New Roman" w:hAnsi="Times New Roman" w:cs="Times New Roman"/>
                <w:color w:val="000000"/>
              </w:rPr>
              <w:t>23.770,00</w:t>
            </w:r>
          </w:p>
        </w:tc>
        <w:tc>
          <w:tcPr>
            <w:tcW w:w="1368" w:type="dxa"/>
            <w:shd w:val="clear" w:color="auto" w:fill="auto"/>
          </w:tcPr>
          <w:p w14:paraId="6F1B5375" w14:textId="5187C82F" w:rsidR="00B4610E" w:rsidRPr="002C66C6" w:rsidRDefault="00B4610E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66C6">
              <w:rPr>
                <w:rFonts w:ascii="Times New Roman" w:eastAsia="Times New Roman" w:hAnsi="Times New Roman" w:cs="Times New Roman"/>
                <w:color w:val="000000"/>
              </w:rPr>
              <w:t>199.770,00</w:t>
            </w:r>
          </w:p>
        </w:tc>
      </w:tr>
    </w:tbl>
    <w:p w14:paraId="0D3DEA3D" w14:textId="77777777" w:rsidR="00D968F7" w:rsidRPr="002C66C6" w:rsidRDefault="00D968F7" w:rsidP="00D968F7">
      <w:pPr>
        <w:spacing w:after="0"/>
        <w:rPr>
          <w:rFonts w:ascii="Times New Roman" w:hAnsi="Times New Roman" w:cs="Times New Roman"/>
        </w:rPr>
      </w:pPr>
    </w:p>
    <w:p w14:paraId="6E643637" w14:textId="6B8B4C01" w:rsidR="002C66C6" w:rsidRPr="002C66C6" w:rsidRDefault="00D968F7" w:rsidP="00F077E9">
      <w:pPr>
        <w:spacing w:after="0"/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Do promjena na aktivnosti ovog programa dolazi zbog toga što se u narednom razdoblju</w:t>
      </w:r>
      <w:r w:rsidR="0025006B">
        <w:rPr>
          <w:rFonts w:ascii="Times New Roman" w:hAnsi="Times New Roman" w:cs="Times New Roman"/>
        </w:rPr>
        <w:t xml:space="preserve"> planiraju</w:t>
      </w:r>
      <w:r w:rsidRPr="002C66C6">
        <w:rPr>
          <w:rFonts w:ascii="Times New Roman" w:hAnsi="Times New Roman" w:cs="Times New Roman"/>
        </w:rPr>
        <w:t xml:space="preserve"> razne društvene manifestacije. Pripreme i organizacija, prikazivanje kino projekcija, prikazivanje i predstavljanje kulturno - umjetničkog stvaralaštva, organizaciju kulturno – umjetničkih poduka, edukativne aktivnosti i radionice, tribine, predavanja, konferencija i stručnih skupova, obavljanje kulturnih djelatnosti (održavanje i prezentacija, sređivanje i dokumentiranje  memorijalne zbirke, audiovizualne djelatnosti), organizaciju kulturno – umjetničkih manifestacija (dramska i plesna umjetnost, glazbena i glazbeno – scenska umjetnost), kulturno – umjetnički amaterizam, interdisciplinarne i nove umjetničke i kulturne prakse, djelatnost zaštite, očuvanja i održivog upravljanja kulturnom baštinom. </w:t>
      </w:r>
      <w:r w:rsidR="002C66C6" w:rsidRPr="002C66C6">
        <w:rPr>
          <w:rFonts w:ascii="Times New Roman" w:hAnsi="Times New Roman" w:cs="Times New Roman"/>
        </w:rPr>
        <w:t>Također, planira se osigurati određena dodatna oprema za ispravan rad poput blagajne, računal</w:t>
      </w:r>
      <w:r w:rsidR="0025006B">
        <w:rPr>
          <w:rFonts w:ascii="Times New Roman" w:hAnsi="Times New Roman" w:cs="Times New Roman"/>
        </w:rPr>
        <w:t>a</w:t>
      </w:r>
      <w:r w:rsidR="002C66C6" w:rsidRPr="002C66C6">
        <w:rPr>
          <w:rFonts w:ascii="Times New Roman" w:hAnsi="Times New Roman" w:cs="Times New Roman"/>
        </w:rPr>
        <w:t>, uredskog materijala,</w:t>
      </w:r>
      <w:r w:rsidR="00F077E9">
        <w:rPr>
          <w:rFonts w:ascii="Times New Roman" w:hAnsi="Times New Roman" w:cs="Times New Roman"/>
        </w:rPr>
        <w:t xml:space="preserve"> uređenje </w:t>
      </w:r>
      <w:proofErr w:type="spellStart"/>
      <w:r w:rsidR="00F077E9">
        <w:rPr>
          <w:rFonts w:ascii="Times New Roman" w:hAnsi="Times New Roman" w:cs="Times New Roman"/>
        </w:rPr>
        <w:t>predulaza</w:t>
      </w:r>
      <w:proofErr w:type="spellEnd"/>
      <w:r w:rsidR="00F077E9">
        <w:rPr>
          <w:rFonts w:ascii="Times New Roman" w:hAnsi="Times New Roman" w:cs="Times New Roman"/>
        </w:rPr>
        <w:t>, nabava</w:t>
      </w:r>
      <w:r w:rsidR="002C66C6" w:rsidRPr="002C66C6">
        <w:rPr>
          <w:rFonts w:ascii="Times New Roman" w:hAnsi="Times New Roman" w:cs="Times New Roman"/>
        </w:rPr>
        <w:t xml:space="preserve"> sitnog inventara i slično. </w:t>
      </w:r>
    </w:p>
    <w:p w14:paraId="11E49D88" w14:textId="1580E09B" w:rsidR="00D968F7" w:rsidRPr="002C66C6" w:rsidRDefault="00D968F7" w:rsidP="00D968F7">
      <w:pPr>
        <w:spacing w:after="0"/>
        <w:rPr>
          <w:rFonts w:ascii="Times New Roman" w:hAnsi="Times New Roman" w:cs="Times New Roman"/>
        </w:rPr>
      </w:pPr>
    </w:p>
    <w:p w14:paraId="4E330D24" w14:textId="2ACC1A04" w:rsidR="00D968F7" w:rsidRPr="002C66C6" w:rsidRDefault="00D968F7" w:rsidP="00F077E9">
      <w:pPr>
        <w:spacing w:after="0"/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Proširenje djelatnosti Javne ustanove Garešnica važno je, prije svega zbog činjenice da je Grad Garešnica, temeljem ugovora potpisanog s Ministarstvom kulture i medija, </w:t>
      </w:r>
      <w:r w:rsidR="00FA52C7">
        <w:rPr>
          <w:rFonts w:ascii="Times New Roman" w:hAnsi="Times New Roman" w:cs="Times New Roman"/>
        </w:rPr>
        <w:t xml:space="preserve">bespovratna </w:t>
      </w:r>
      <w:r w:rsidRPr="002C66C6">
        <w:rPr>
          <w:rFonts w:ascii="Times New Roman" w:hAnsi="Times New Roman" w:cs="Times New Roman"/>
        </w:rPr>
        <w:t>sredstava za nabavu kino opreme i opremanje Hrvatskog doma sa svrhom obavljanja audiovizualnih djelatnosti. Postavljanje navedene kino opreme</w:t>
      </w:r>
      <w:r w:rsidR="002C66C6" w:rsidRPr="002C66C6">
        <w:rPr>
          <w:rFonts w:ascii="Times New Roman" w:hAnsi="Times New Roman" w:cs="Times New Roman"/>
        </w:rPr>
        <w:t xml:space="preserve"> bio je jedan</w:t>
      </w:r>
      <w:r w:rsidRPr="002C66C6">
        <w:rPr>
          <w:rFonts w:ascii="Times New Roman" w:hAnsi="Times New Roman" w:cs="Times New Roman"/>
        </w:rPr>
        <w:t xml:space="preserve"> od preduvjeta za početak rada kina</w:t>
      </w:r>
      <w:r w:rsidR="002C66C6" w:rsidRPr="002C66C6">
        <w:rPr>
          <w:rFonts w:ascii="Times New Roman" w:hAnsi="Times New Roman" w:cs="Times New Roman"/>
        </w:rPr>
        <w:t xml:space="preserve"> te kako je navedena oprema implementirana, Javna ustanova Garešnica kao proračunski korisnik koji je dobio na upravljanje i korištenje zgradu Hrvatskog doma u ulici Vladimira Nazora može početi s radom na već navedenim aktivnostima. </w:t>
      </w:r>
    </w:p>
    <w:p w14:paraId="046146D3" w14:textId="77777777" w:rsidR="002C66C6" w:rsidRPr="002C66C6" w:rsidRDefault="002C66C6" w:rsidP="00D968F7">
      <w:pPr>
        <w:spacing w:after="0"/>
        <w:rPr>
          <w:rFonts w:ascii="Times New Roman" w:hAnsi="Times New Roman" w:cs="Times New Roman"/>
        </w:rPr>
      </w:pPr>
    </w:p>
    <w:p w14:paraId="0AA7752E" w14:textId="38C2A49F" w:rsidR="002C66C6" w:rsidRPr="002C66C6" w:rsidRDefault="002C66C6" w:rsidP="00D968F7">
      <w:pPr>
        <w:spacing w:after="0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Kada govorimo o novitetima, dodaje se još jedan </w:t>
      </w:r>
      <w:r w:rsidRPr="002C66C6">
        <w:rPr>
          <w:rFonts w:ascii="Times New Roman" w:hAnsi="Times New Roman" w:cs="Times New Roman"/>
          <w:u w:val="single"/>
        </w:rPr>
        <w:t>cilj</w:t>
      </w:r>
      <w:r w:rsidRPr="002C66C6">
        <w:rPr>
          <w:rFonts w:ascii="Times New Roman" w:hAnsi="Times New Roman" w:cs="Times New Roman"/>
        </w:rPr>
        <w:t>.</w:t>
      </w:r>
    </w:p>
    <w:p w14:paraId="0CE309F4" w14:textId="77777777" w:rsidR="002C66C6" w:rsidRPr="002C66C6" w:rsidRDefault="002C66C6" w:rsidP="002C66C6">
      <w:pPr>
        <w:jc w:val="both"/>
        <w:rPr>
          <w:rFonts w:ascii="Times New Roman" w:hAnsi="Times New Roman" w:cs="Times New Roman"/>
          <w:b/>
        </w:rPr>
      </w:pPr>
    </w:p>
    <w:p w14:paraId="59D6C148" w14:textId="0C0091B8" w:rsidR="002C66C6" w:rsidRPr="002C66C6" w:rsidRDefault="002C66C6" w:rsidP="002C66C6">
      <w:pPr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  <w:b/>
        </w:rPr>
        <w:t>CILJ</w:t>
      </w:r>
      <w:r w:rsidRPr="002C66C6">
        <w:rPr>
          <w:rFonts w:ascii="Times New Roman" w:hAnsi="Times New Roman" w:cs="Times New Roman"/>
        </w:rPr>
        <w:t>: Prikazivanje kino projekcija</w:t>
      </w:r>
    </w:p>
    <w:p w14:paraId="1EC1C532" w14:textId="30FECD39" w:rsidR="002C66C6" w:rsidRPr="002C66C6" w:rsidRDefault="002C66C6" w:rsidP="002C6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</w:t>
      </w:r>
      <w:r w:rsidRPr="002C66C6">
        <w:rPr>
          <w:rFonts w:ascii="Times New Roman" w:hAnsi="Times New Roman" w:cs="Times New Roman"/>
        </w:rPr>
        <w:t xml:space="preserve"> se početi s </w:t>
      </w:r>
      <w:r w:rsidR="00E327B2" w:rsidRPr="002C66C6">
        <w:rPr>
          <w:rFonts w:ascii="Times New Roman" w:hAnsi="Times New Roman" w:cs="Times New Roman"/>
        </w:rPr>
        <w:t>audiovizualni</w:t>
      </w:r>
      <w:r w:rsidR="00E327B2">
        <w:rPr>
          <w:rFonts w:ascii="Times New Roman" w:hAnsi="Times New Roman" w:cs="Times New Roman"/>
        </w:rPr>
        <w:t>m</w:t>
      </w:r>
      <w:r w:rsidR="00E327B2" w:rsidRPr="002C66C6">
        <w:rPr>
          <w:rFonts w:ascii="Times New Roman" w:hAnsi="Times New Roman" w:cs="Times New Roman"/>
        </w:rPr>
        <w:t xml:space="preserve"> djelatnosti</w:t>
      </w:r>
      <w:r w:rsidR="00E327B2">
        <w:rPr>
          <w:rFonts w:ascii="Times New Roman" w:hAnsi="Times New Roman" w:cs="Times New Roman"/>
        </w:rPr>
        <w:t>ma</w:t>
      </w:r>
      <w:r w:rsidR="00E327B2" w:rsidRPr="002C66C6">
        <w:rPr>
          <w:rFonts w:ascii="Times New Roman" w:hAnsi="Times New Roman" w:cs="Times New Roman"/>
        </w:rPr>
        <w:t xml:space="preserve"> </w:t>
      </w:r>
      <w:r w:rsidRPr="002C66C6">
        <w:rPr>
          <w:rFonts w:ascii="Times New Roman" w:hAnsi="Times New Roman" w:cs="Times New Roman"/>
        </w:rPr>
        <w:t>u Hrvatskom domu</w:t>
      </w:r>
      <w:r w:rsidR="00E327B2">
        <w:rPr>
          <w:rFonts w:ascii="Times New Roman" w:hAnsi="Times New Roman" w:cs="Times New Roman"/>
        </w:rPr>
        <w:t xml:space="preserve">. Podrazumijeva se kreiranje novih zanimljivih sadržaja i ponude kako bi se privlačili posjetitelji koji bi svoje iskustvo mogli proširiti dalje. Kino projekcije su samo jedna od mogućnosti koje privlače populaciju raznih dobnih skupina. </w:t>
      </w:r>
    </w:p>
    <w:p w14:paraId="0AB6C112" w14:textId="77777777" w:rsidR="002C66C6" w:rsidRDefault="002C66C6" w:rsidP="002C66C6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647"/>
        <w:gridCol w:w="1096"/>
        <w:gridCol w:w="1262"/>
        <w:gridCol w:w="1262"/>
        <w:gridCol w:w="1262"/>
        <w:gridCol w:w="1262"/>
      </w:tblGrid>
      <w:tr w:rsidR="0025006B" w14:paraId="079570CB" w14:textId="77777777" w:rsidTr="004B707D">
        <w:trPr>
          <w:jc w:val="center"/>
        </w:trPr>
        <w:tc>
          <w:tcPr>
            <w:tcW w:w="1282" w:type="dxa"/>
            <w:shd w:val="clear" w:color="auto" w:fill="AEAAAA" w:themeFill="background2" w:themeFillShade="BF"/>
          </w:tcPr>
          <w:p w14:paraId="6F5A52D6" w14:textId="08269538" w:rsidR="0025006B" w:rsidRPr="0025006B" w:rsidRDefault="0025006B" w:rsidP="0025006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Pokazatelj rezultata</w:t>
            </w:r>
          </w:p>
        </w:tc>
        <w:tc>
          <w:tcPr>
            <w:tcW w:w="1690" w:type="dxa"/>
            <w:shd w:val="clear" w:color="auto" w:fill="AEAAAA" w:themeFill="background2" w:themeFillShade="BF"/>
          </w:tcPr>
          <w:p w14:paraId="7728DA38" w14:textId="69467924" w:rsidR="0025006B" w:rsidRPr="0025006B" w:rsidRDefault="0025006B" w:rsidP="0025006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Definicija pokazatelja</w:t>
            </w:r>
          </w:p>
        </w:tc>
        <w:tc>
          <w:tcPr>
            <w:tcW w:w="978" w:type="dxa"/>
            <w:shd w:val="clear" w:color="auto" w:fill="AEAAAA" w:themeFill="background2" w:themeFillShade="BF"/>
          </w:tcPr>
          <w:p w14:paraId="7548878F" w14:textId="18677BE0" w:rsidR="0025006B" w:rsidRPr="0025006B" w:rsidRDefault="0025006B" w:rsidP="0025006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Jedinica </w:t>
            </w:r>
          </w:p>
        </w:tc>
        <w:tc>
          <w:tcPr>
            <w:tcW w:w="1278" w:type="dxa"/>
            <w:shd w:val="clear" w:color="auto" w:fill="AEAAAA" w:themeFill="background2" w:themeFillShade="BF"/>
          </w:tcPr>
          <w:p w14:paraId="7A856478" w14:textId="4217DBE0" w:rsidR="0025006B" w:rsidRPr="0025006B" w:rsidRDefault="0025006B" w:rsidP="0025006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Polazna vrijednost 2023.</w:t>
            </w:r>
          </w:p>
        </w:tc>
        <w:tc>
          <w:tcPr>
            <w:tcW w:w="1278" w:type="dxa"/>
            <w:shd w:val="clear" w:color="auto" w:fill="AEAAAA" w:themeFill="background2" w:themeFillShade="BF"/>
          </w:tcPr>
          <w:p w14:paraId="6A6C429B" w14:textId="216E277B" w:rsidR="0025006B" w:rsidRPr="0025006B" w:rsidRDefault="0025006B" w:rsidP="0025006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Ciljana vrijednost 2024.</w:t>
            </w:r>
          </w:p>
        </w:tc>
        <w:tc>
          <w:tcPr>
            <w:tcW w:w="1278" w:type="dxa"/>
            <w:shd w:val="clear" w:color="auto" w:fill="AEAAAA" w:themeFill="background2" w:themeFillShade="BF"/>
          </w:tcPr>
          <w:p w14:paraId="56442D9E" w14:textId="5B9FD77E" w:rsidR="0025006B" w:rsidRPr="0025006B" w:rsidRDefault="0025006B" w:rsidP="0025006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Ciljana vrijednost 2025.</w:t>
            </w:r>
          </w:p>
        </w:tc>
        <w:tc>
          <w:tcPr>
            <w:tcW w:w="1278" w:type="dxa"/>
            <w:shd w:val="clear" w:color="auto" w:fill="AEAAAA" w:themeFill="background2" w:themeFillShade="BF"/>
          </w:tcPr>
          <w:p w14:paraId="1096E32A" w14:textId="100CDA6F" w:rsidR="0025006B" w:rsidRPr="0025006B" w:rsidRDefault="0025006B" w:rsidP="0025006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00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Ciljana vrijednost 2026.</w:t>
            </w:r>
          </w:p>
        </w:tc>
      </w:tr>
      <w:tr w:rsidR="004B707D" w14:paraId="38C93101" w14:textId="77777777" w:rsidTr="004B707D">
        <w:trPr>
          <w:jc w:val="center"/>
        </w:trPr>
        <w:tc>
          <w:tcPr>
            <w:tcW w:w="1282" w:type="dxa"/>
            <w:vAlign w:val="center"/>
          </w:tcPr>
          <w:p w14:paraId="6EB980F9" w14:textId="77777777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5D95B53C" w14:textId="77777777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0B14C782" w14:textId="4CE3EF92" w:rsidR="004B707D" w:rsidRDefault="00BE4367" w:rsidP="004B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4B707D" w:rsidRPr="002C66C6">
              <w:rPr>
                <w:rFonts w:ascii="Times New Roman" w:hAnsi="Times New Roman" w:cs="Times New Roman"/>
              </w:rPr>
              <w:t>ino projekcija</w:t>
            </w:r>
          </w:p>
        </w:tc>
        <w:tc>
          <w:tcPr>
            <w:tcW w:w="1690" w:type="dxa"/>
            <w:vAlign w:val="center"/>
          </w:tcPr>
          <w:p w14:paraId="37367CB3" w14:textId="7449218A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 w:rsidRPr="002C66C6">
              <w:rPr>
                <w:rFonts w:ascii="Times New Roman" w:hAnsi="Times New Roman" w:cs="Times New Roman"/>
              </w:rPr>
              <w:t>Broj organiziranih i izvršenih kino projekcija povećava dodatni kulturni sadržaj u gradu Garešnici</w:t>
            </w:r>
          </w:p>
        </w:tc>
        <w:tc>
          <w:tcPr>
            <w:tcW w:w="978" w:type="dxa"/>
            <w:vAlign w:val="center"/>
          </w:tcPr>
          <w:p w14:paraId="53951694" w14:textId="77777777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405ABAE4" w14:textId="19900ED3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 w:rsidRPr="002C66C6">
              <w:rPr>
                <w:rFonts w:ascii="Times New Roman" w:hAnsi="Times New Roman" w:cs="Times New Roman"/>
              </w:rPr>
              <w:t>Broj kino projekcija</w:t>
            </w:r>
          </w:p>
        </w:tc>
        <w:tc>
          <w:tcPr>
            <w:tcW w:w="1278" w:type="dxa"/>
            <w:vAlign w:val="center"/>
          </w:tcPr>
          <w:p w14:paraId="73C08AD3" w14:textId="46956D13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dxa"/>
            <w:vAlign w:val="center"/>
          </w:tcPr>
          <w:p w14:paraId="3C9AC43A" w14:textId="6D86431F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8" w:type="dxa"/>
            <w:vAlign w:val="center"/>
          </w:tcPr>
          <w:p w14:paraId="1866BD6A" w14:textId="52C9F891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8" w:type="dxa"/>
            <w:vAlign w:val="center"/>
          </w:tcPr>
          <w:p w14:paraId="387D44E7" w14:textId="2951B9B4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4B707D" w14:paraId="3F56AF27" w14:textId="77777777" w:rsidTr="004B707D">
        <w:trPr>
          <w:jc w:val="center"/>
        </w:trPr>
        <w:tc>
          <w:tcPr>
            <w:tcW w:w="1282" w:type="dxa"/>
            <w:vAlign w:val="center"/>
          </w:tcPr>
          <w:p w14:paraId="1969BA19" w14:textId="6049FCFA" w:rsidR="004B707D" w:rsidRDefault="00BE4367" w:rsidP="00BE4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</w:t>
            </w:r>
            <w:r w:rsidR="004B707D" w:rsidRPr="002C66C6">
              <w:rPr>
                <w:rFonts w:ascii="Times New Roman" w:hAnsi="Times New Roman" w:cs="Times New Roman"/>
              </w:rPr>
              <w:t>ino ulaznica</w:t>
            </w:r>
          </w:p>
        </w:tc>
        <w:tc>
          <w:tcPr>
            <w:tcW w:w="1690" w:type="dxa"/>
            <w:vAlign w:val="center"/>
          </w:tcPr>
          <w:p w14:paraId="0815168B" w14:textId="797F5367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 w:rsidRPr="002C66C6">
              <w:rPr>
                <w:rFonts w:ascii="Times New Roman" w:hAnsi="Times New Roman" w:cs="Times New Roman"/>
              </w:rPr>
              <w:t>Broj izdanih (prodanih) kino ulaznica pokazuje koliko je osoba prisustvovalo kino projekcijama</w:t>
            </w:r>
          </w:p>
        </w:tc>
        <w:tc>
          <w:tcPr>
            <w:tcW w:w="978" w:type="dxa"/>
            <w:vAlign w:val="center"/>
          </w:tcPr>
          <w:p w14:paraId="24AF9ABE" w14:textId="77777777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2C0E9496" w14:textId="7FD03C78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 w:rsidRPr="002C66C6">
              <w:rPr>
                <w:rFonts w:ascii="Times New Roman" w:hAnsi="Times New Roman" w:cs="Times New Roman"/>
              </w:rPr>
              <w:t>Broj izdanih ulaznica</w:t>
            </w:r>
          </w:p>
        </w:tc>
        <w:tc>
          <w:tcPr>
            <w:tcW w:w="1278" w:type="dxa"/>
            <w:vAlign w:val="center"/>
          </w:tcPr>
          <w:p w14:paraId="4666F9E9" w14:textId="72ACB270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dxa"/>
            <w:vAlign w:val="center"/>
          </w:tcPr>
          <w:p w14:paraId="664673C9" w14:textId="77777777" w:rsidR="004B707D" w:rsidRPr="002C66C6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37D4E506" w14:textId="77777777" w:rsidR="004B707D" w:rsidRPr="002C66C6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6992B1F9" w14:textId="77777777" w:rsidR="00F860DA" w:rsidRDefault="00F860DA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7D62EC72" w14:textId="370C2FCE" w:rsidR="004B707D" w:rsidRPr="002C66C6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6 630</w:t>
            </w:r>
          </w:p>
          <w:p w14:paraId="5715C660" w14:textId="77777777" w:rsidR="004B707D" w:rsidRPr="002C66C6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79683F8A" w14:textId="77777777" w:rsidR="004B707D" w:rsidRPr="002C66C6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778E3B0E" w14:textId="77777777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Align w:val="center"/>
          </w:tcPr>
          <w:p w14:paraId="375445F2" w14:textId="77777777" w:rsidR="00F860DA" w:rsidRDefault="00F860DA" w:rsidP="004B707D">
            <w:pPr>
              <w:jc w:val="center"/>
              <w:rPr>
                <w:rFonts w:ascii="Times New Roman" w:hAnsi="Times New Roman" w:cs="Times New Roman"/>
              </w:rPr>
            </w:pPr>
          </w:p>
          <w:p w14:paraId="2F5A9C33" w14:textId="741A5100" w:rsidR="004B707D" w:rsidRPr="002C66C6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74F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470</w:t>
            </w:r>
          </w:p>
          <w:p w14:paraId="267C7901" w14:textId="77777777" w:rsidR="004B707D" w:rsidRDefault="004B707D" w:rsidP="004B70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Align w:val="center"/>
          </w:tcPr>
          <w:p w14:paraId="103AEB04" w14:textId="4E6C9B1D" w:rsidR="004B707D" w:rsidRDefault="004B707D" w:rsidP="00F86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17 680</w:t>
            </w:r>
          </w:p>
        </w:tc>
      </w:tr>
    </w:tbl>
    <w:p w14:paraId="3DB2D991" w14:textId="77777777" w:rsidR="0025006B" w:rsidRPr="002C66C6" w:rsidRDefault="0025006B" w:rsidP="002C66C6">
      <w:pPr>
        <w:jc w:val="both"/>
        <w:rPr>
          <w:rFonts w:ascii="Times New Roman" w:hAnsi="Times New Roman" w:cs="Times New Roman"/>
        </w:rPr>
      </w:pPr>
    </w:p>
    <w:p w14:paraId="073417D5" w14:textId="77777777" w:rsidR="002C66C6" w:rsidRPr="002C66C6" w:rsidRDefault="002C66C6" w:rsidP="00D968F7">
      <w:pPr>
        <w:spacing w:after="0"/>
        <w:rPr>
          <w:rFonts w:ascii="Times New Roman" w:hAnsi="Times New Roman" w:cs="Times New Roman"/>
        </w:rPr>
      </w:pPr>
    </w:p>
    <w:p w14:paraId="3213BEF9" w14:textId="77777777" w:rsidR="00D968F7" w:rsidRPr="002C66C6" w:rsidRDefault="00D968F7" w:rsidP="00EE134B">
      <w:pPr>
        <w:spacing w:after="0"/>
        <w:rPr>
          <w:rFonts w:ascii="Times New Roman" w:hAnsi="Times New Roman" w:cs="Times New Roman"/>
        </w:rPr>
      </w:pPr>
    </w:p>
    <w:p w14:paraId="59C67D9C" w14:textId="77777777" w:rsidR="00EB555E" w:rsidRPr="002C66C6" w:rsidRDefault="00EB555E" w:rsidP="00EB555E">
      <w:pPr>
        <w:spacing w:after="0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Prilog: Prijedlog I. izmjene financijskog plana za 2024. g.</w:t>
      </w:r>
    </w:p>
    <w:p w14:paraId="6D32A933" w14:textId="77777777" w:rsidR="00C870C9" w:rsidRPr="002C66C6" w:rsidRDefault="00C870C9" w:rsidP="00C870C9">
      <w:pPr>
        <w:spacing w:after="0"/>
        <w:rPr>
          <w:rFonts w:ascii="Times New Roman" w:hAnsi="Times New Roman" w:cs="Times New Roman"/>
        </w:rPr>
      </w:pPr>
    </w:p>
    <w:p w14:paraId="4B920515" w14:textId="77777777" w:rsidR="00C870C9" w:rsidRPr="002C66C6" w:rsidRDefault="00C870C9" w:rsidP="00C870C9">
      <w:pPr>
        <w:spacing w:after="0"/>
        <w:rPr>
          <w:rFonts w:ascii="Times New Roman" w:hAnsi="Times New Roman" w:cs="Times New Roman"/>
        </w:rPr>
      </w:pPr>
    </w:p>
    <w:p w14:paraId="3BD9E4B3" w14:textId="5EBFBE6E" w:rsidR="00C870C9" w:rsidRPr="002C66C6" w:rsidRDefault="00B00BA7" w:rsidP="00C870C9">
      <w:pPr>
        <w:spacing w:after="0"/>
        <w:jc w:val="right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v.d. Ravnatelj</w:t>
      </w:r>
      <w:r w:rsidR="00C870C9" w:rsidRPr="002C66C6">
        <w:rPr>
          <w:rFonts w:ascii="Times New Roman" w:hAnsi="Times New Roman" w:cs="Times New Roman"/>
        </w:rPr>
        <w:t xml:space="preserve"> Javne ustanove Garešnica</w:t>
      </w:r>
    </w:p>
    <w:p w14:paraId="31277A59" w14:textId="77777777" w:rsidR="00C870C9" w:rsidRPr="002C66C6" w:rsidRDefault="00C870C9" w:rsidP="00C870C9">
      <w:pPr>
        <w:spacing w:after="0"/>
        <w:jc w:val="right"/>
        <w:rPr>
          <w:rFonts w:ascii="Times New Roman" w:hAnsi="Times New Roman" w:cs="Times New Roman"/>
        </w:rPr>
      </w:pPr>
    </w:p>
    <w:p w14:paraId="528D8192" w14:textId="77777777" w:rsidR="00C870C9" w:rsidRPr="002C66C6" w:rsidRDefault="00C870C9" w:rsidP="00C870C9">
      <w:pPr>
        <w:spacing w:after="0"/>
        <w:jc w:val="right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_____________________</w:t>
      </w:r>
    </w:p>
    <w:p w14:paraId="19B0A4B2" w14:textId="461201BF" w:rsidR="00C870C9" w:rsidRPr="002C66C6" w:rsidRDefault="00B00BA7" w:rsidP="00C870C9">
      <w:pPr>
        <w:spacing w:after="0"/>
        <w:jc w:val="right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Johan Hima, </w:t>
      </w:r>
      <w:proofErr w:type="spellStart"/>
      <w:r w:rsidRPr="002C66C6">
        <w:rPr>
          <w:rFonts w:ascii="Times New Roman" w:hAnsi="Times New Roman" w:cs="Times New Roman"/>
        </w:rPr>
        <w:t>mag.iur</w:t>
      </w:r>
      <w:proofErr w:type="spellEnd"/>
      <w:r w:rsidRPr="002C66C6">
        <w:rPr>
          <w:rFonts w:ascii="Times New Roman" w:hAnsi="Times New Roman" w:cs="Times New Roman"/>
        </w:rPr>
        <w:t>.</w:t>
      </w:r>
    </w:p>
    <w:p w14:paraId="358F4456" w14:textId="77777777" w:rsidR="00F70D2F" w:rsidRPr="002C66C6" w:rsidRDefault="00F70D2F" w:rsidP="00C870C9">
      <w:pPr>
        <w:spacing w:after="0"/>
        <w:rPr>
          <w:rFonts w:ascii="Times New Roman" w:hAnsi="Times New Roman" w:cs="Times New Roman"/>
        </w:rPr>
      </w:pPr>
    </w:p>
    <w:p w14:paraId="18ABB07D" w14:textId="77777777" w:rsidR="00C870C9" w:rsidRPr="002C66C6" w:rsidRDefault="00C870C9" w:rsidP="00C870C9">
      <w:pPr>
        <w:spacing w:after="0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Dostaviti:</w:t>
      </w:r>
    </w:p>
    <w:p w14:paraId="0D9E7D4F" w14:textId="77777777" w:rsidR="00C870C9" w:rsidRPr="002C66C6" w:rsidRDefault="00C870C9" w:rsidP="00C870C9">
      <w:pPr>
        <w:pStyle w:val="Odlomakpopisa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Upravno vijeće Javne ustanove Garešnica</w:t>
      </w:r>
    </w:p>
    <w:p w14:paraId="143A07A2" w14:textId="77777777" w:rsidR="00C870C9" w:rsidRPr="002C66C6" w:rsidRDefault="00C870C9" w:rsidP="004B707D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>Upravni odjel za društvene djelatnosti, imovinu i opće poslove</w:t>
      </w:r>
    </w:p>
    <w:p w14:paraId="114393B7" w14:textId="77777777" w:rsidR="00C870C9" w:rsidRPr="002C66C6" w:rsidRDefault="00C870C9" w:rsidP="00C870C9">
      <w:pPr>
        <w:pStyle w:val="Odlomakpopisa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Upravni odjel za financije Grada Garešnice    </w:t>
      </w:r>
    </w:p>
    <w:p w14:paraId="50618315" w14:textId="074BB4E8" w:rsidR="00C870C9" w:rsidRPr="00FA52C7" w:rsidRDefault="00C870C9" w:rsidP="00FA52C7">
      <w:pPr>
        <w:pStyle w:val="Odlomakpopisa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2C66C6">
        <w:rPr>
          <w:rFonts w:ascii="Times New Roman" w:hAnsi="Times New Roman" w:cs="Times New Roman"/>
        </w:rPr>
        <w:t xml:space="preserve">Arhiva, ovdje                                                                                                                    </w:t>
      </w:r>
    </w:p>
    <w:sectPr w:rsidR="00C870C9" w:rsidRPr="00FA52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E0055" w14:textId="77777777" w:rsidR="00F06F45" w:rsidRDefault="00F06F45" w:rsidP="00C870C9">
      <w:pPr>
        <w:spacing w:after="0" w:line="240" w:lineRule="auto"/>
      </w:pPr>
      <w:r>
        <w:separator/>
      </w:r>
    </w:p>
  </w:endnote>
  <w:endnote w:type="continuationSeparator" w:id="0">
    <w:p w14:paraId="42D890BA" w14:textId="77777777" w:rsidR="00F06F45" w:rsidRDefault="00F06F45" w:rsidP="00C8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1860831"/>
      <w:docPartObj>
        <w:docPartGallery w:val="Page Numbers (Bottom of Page)"/>
        <w:docPartUnique/>
      </w:docPartObj>
    </w:sdtPr>
    <w:sdtContent>
      <w:p w14:paraId="3222A68E" w14:textId="221E6594" w:rsidR="00C870C9" w:rsidRDefault="00C870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BC05F" w14:textId="77777777" w:rsidR="00C870C9" w:rsidRDefault="00C870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7D282" w14:textId="77777777" w:rsidR="00F06F45" w:rsidRDefault="00F06F45" w:rsidP="00C870C9">
      <w:pPr>
        <w:spacing w:after="0" w:line="240" w:lineRule="auto"/>
      </w:pPr>
      <w:r>
        <w:separator/>
      </w:r>
    </w:p>
  </w:footnote>
  <w:footnote w:type="continuationSeparator" w:id="0">
    <w:p w14:paraId="6C1DE2C5" w14:textId="77777777" w:rsidR="00F06F45" w:rsidRDefault="00F06F45" w:rsidP="00C87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B63"/>
    <w:multiLevelType w:val="hybridMultilevel"/>
    <w:tmpl w:val="691843E4"/>
    <w:lvl w:ilvl="0" w:tplc="6E566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0BE"/>
    <w:multiLevelType w:val="hybridMultilevel"/>
    <w:tmpl w:val="AD3C76F0"/>
    <w:lvl w:ilvl="0" w:tplc="BC102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506"/>
    <w:multiLevelType w:val="hybridMultilevel"/>
    <w:tmpl w:val="DDD27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B07EC"/>
    <w:multiLevelType w:val="hybridMultilevel"/>
    <w:tmpl w:val="831C313C"/>
    <w:lvl w:ilvl="0" w:tplc="A0E4BE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64F3"/>
    <w:multiLevelType w:val="hybridMultilevel"/>
    <w:tmpl w:val="1A72091E"/>
    <w:lvl w:ilvl="0" w:tplc="94FE69F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0821F2"/>
    <w:multiLevelType w:val="hybridMultilevel"/>
    <w:tmpl w:val="6F407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868"/>
    <w:multiLevelType w:val="hybridMultilevel"/>
    <w:tmpl w:val="55FAC12E"/>
    <w:lvl w:ilvl="0" w:tplc="4D6C8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07029"/>
    <w:multiLevelType w:val="hybridMultilevel"/>
    <w:tmpl w:val="D04C820A"/>
    <w:lvl w:ilvl="0" w:tplc="3D042E26">
      <w:start w:val="3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45317D"/>
    <w:multiLevelType w:val="hybridMultilevel"/>
    <w:tmpl w:val="8454F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71818"/>
    <w:multiLevelType w:val="hybridMultilevel"/>
    <w:tmpl w:val="68FCE4DE"/>
    <w:lvl w:ilvl="0" w:tplc="00CCD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1796B"/>
    <w:multiLevelType w:val="multilevel"/>
    <w:tmpl w:val="A70E7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DB20AA"/>
    <w:multiLevelType w:val="hybridMultilevel"/>
    <w:tmpl w:val="BF7A4C0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F80030C"/>
    <w:multiLevelType w:val="hybridMultilevel"/>
    <w:tmpl w:val="CC64A806"/>
    <w:lvl w:ilvl="0" w:tplc="645209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C2353"/>
    <w:multiLevelType w:val="hybridMultilevel"/>
    <w:tmpl w:val="D8D87AE2"/>
    <w:lvl w:ilvl="0" w:tplc="AD3ECA3E">
      <w:numFmt w:val="bullet"/>
      <w:lvlText w:val="-"/>
      <w:lvlJc w:val="left"/>
      <w:pPr>
        <w:ind w:left="1425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2EA4866"/>
    <w:multiLevelType w:val="hybridMultilevel"/>
    <w:tmpl w:val="70A85CF2"/>
    <w:lvl w:ilvl="0" w:tplc="8D00A13E">
      <w:start w:val="3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7245A0"/>
    <w:multiLevelType w:val="hybridMultilevel"/>
    <w:tmpl w:val="C5087C40"/>
    <w:lvl w:ilvl="0" w:tplc="A4283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99832">
    <w:abstractNumId w:val="8"/>
  </w:num>
  <w:num w:numId="2" w16cid:durableId="552010728">
    <w:abstractNumId w:val="2"/>
  </w:num>
  <w:num w:numId="3" w16cid:durableId="1842314499">
    <w:abstractNumId w:val="5"/>
  </w:num>
  <w:num w:numId="4" w16cid:durableId="1003050825">
    <w:abstractNumId w:val="4"/>
  </w:num>
  <w:num w:numId="5" w16cid:durableId="1764298819">
    <w:abstractNumId w:val="9"/>
  </w:num>
  <w:num w:numId="6" w16cid:durableId="925462880">
    <w:abstractNumId w:val="12"/>
  </w:num>
  <w:num w:numId="7" w16cid:durableId="1728147812">
    <w:abstractNumId w:val="1"/>
  </w:num>
  <w:num w:numId="8" w16cid:durableId="574706858">
    <w:abstractNumId w:val="3"/>
  </w:num>
  <w:num w:numId="9" w16cid:durableId="890924243">
    <w:abstractNumId w:val="0"/>
  </w:num>
  <w:num w:numId="10" w16cid:durableId="2035960891">
    <w:abstractNumId w:val="6"/>
  </w:num>
  <w:num w:numId="11" w16cid:durableId="1423716700">
    <w:abstractNumId w:val="15"/>
  </w:num>
  <w:num w:numId="12" w16cid:durableId="476603791">
    <w:abstractNumId w:val="11"/>
  </w:num>
  <w:num w:numId="13" w16cid:durableId="1674454968">
    <w:abstractNumId w:val="13"/>
  </w:num>
  <w:num w:numId="14" w16cid:durableId="1593932471">
    <w:abstractNumId w:val="7"/>
  </w:num>
  <w:num w:numId="15" w16cid:durableId="1262836643">
    <w:abstractNumId w:val="14"/>
  </w:num>
  <w:num w:numId="16" w16cid:durableId="2023555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4A"/>
    <w:rsid w:val="00032AD8"/>
    <w:rsid w:val="00040020"/>
    <w:rsid w:val="00055844"/>
    <w:rsid w:val="00094266"/>
    <w:rsid w:val="00105672"/>
    <w:rsid w:val="00124BD7"/>
    <w:rsid w:val="001E7AB9"/>
    <w:rsid w:val="0025006B"/>
    <w:rsid w:val="00267544"/>
    <w:rsid w:val="002922D3"/>
    <w:rsid w:val="002A3CA3"/>
    <w:rsid w:val="002C66C6"/>
    <w:rsid w:val="002E2231"/>
    <w:rsid w:val="00323A96"/>
    <w:rsid w:val="00354836"/>
    <w:rsid w:val="003672A4"/>
    <w:rsid w:val="003A66F2"/>
    <w:rsid w:val="00405AF4"/>
    <w:rsid w:val="00455931"/>
    <w:rsid w:val="00471DBB"/>
    <w:rsid w:val="00474F75"/>
    <w:rsid w:val="004B707D"/>
    <w:rsid w:val="004D594F"/>
    <w:rsid w:val="004E0CDC"/>
    <w:rsid w:val="004E11B3"/>
    <w:rsid w:val="0055706A"/>
    <w:rsid w:val="00576F3A"/>
    <w:rsid w:val="005B60CB"/>
    <w:rsid w:val="005C4FA6"/>
    <w:rsid w:val="005D26C8"/>
    <w:rsid w:val="0060073A"/>
    <w:rsid w:val="00690662"/>
    <w:rsid w:val="00696158"/>
    <w:rsid w:val="006D164A"/>
    <w:rsid w:val="006D5F68"/>
    <w:rsid w:val="006F1719"/>
    <w:rsid w:val="006F4652"/>
    <w:rsid w:val="007426E2"/>
    <w:rsid w:val="0078464D"/>
    <w:rsid w:val="007D307F"/>
    <w:rsid w:val="007F30C1"/>
    <w:rsid w:val="00813016"/>
    <w:rsid w:val="008401B2"/>
    <w:rsid w:val="00854CBD"/>
    <w:rsid w:val="008679C3"/>
    <w:rsid w:val="008751A9"/>
    <w:rsid w:val="00893C50"/>
    <w:rsid w:val="008952F2"/>
    <w:rsid w:val="008A7EF2"/>
    <w:rsid w:val="008B160C"/>
    <w:rsid w:val="008C5CDE"/>
    <w:rsid w:val="008D5307"/>
    <w:rsid w:val="008E4F87"/>
    <w:rsid w:val="0092532F"/>
    <w:rsid w:val="00956B46"/>
    <w:rsid w:val="009B24A1"/>
    <w:rsid w:val="00A22D0A"/>
    <w:rsid w:val="00AB57BF"/>
    <w:rsid w:val="00AC15E0"/>
    <w:rsid w:val="00B00BA7"/>
    <w:rsid w:val="00B2333B"/>
    <w:rsid w:val="00B41B92"/>
    <w:rsid w:val="00B4610E"/>
    <w:rsid w:val="00B6251E"/>
    <w:rsid w:val="00B64E1E"/>
    <w:rsid w:val="00B64E9C"/>
    <w:rsid w:val="00BB5CF9"/>
    <w:rsid w:val="00BE4367"/>
    <w:rsid w:val="00BE55F3"/>
    <w:rsid w:val="00C044F5"/>
    <w:rsid w:val="00C3504F"/>
    <w:rsid w:val="00C74AC3"/>
    <w:rsid w:val="00C83EBA"/>
    <w:rsid w:val="00C870C9"/>
    <w:rsid w:val="00CA6FFA"/>
    <w:rsid w:val="00CD0A6B"/>
    <w:rsid w:val="00CE1EFB"/>
    <w:rsid w:val="00D968F7"/>
    <w:rsid w:val="00DA0BC9"/>
    <w:rsid w:val="00DB5964"/>
    <w:rsid w:val="00DC5EF5"/>
    <w:rsid w:val="00DD140E"/>
    <w:rsid w:val="00DD3D76"/>
    <w:rsid w:val="00E327B2"/>
    <w:rsid w:val="00E3798C"/>
    <w:rsid w:val="00E42FE0"/>
    <w:rsid w:val="00E45E44"/>
    <w:rsid w:val="00E94833"/>
    <w:rsid w:val="00EB555E"/>
    <w:rsid w:val="00ED0D99"/>
    <w:rsid w:val="00ED2619"/>
    <w:rsid w:val="00ED58BC"/>
    <w:rsid w:val="00EE134B"/>
    <w:rsid w:val="00F06F45"/>
    <w:rsid w:val="00F077E9"/>
    <w:rsid w:val="00F42C25"/>
    <w:rsid w:val="00F70D2F"/>
    <w:rsid w:val="00F72BFE"/>
    <w:rsid w:val="00F860DA"/>
    <w:rsid w:val="00FA52C7"/>
    <w:rsid w:val="00FB4DBE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2F7C"/>
  <w15:chartTrackingRefBased/>
  <w15:docId w15:val="{63519137-3364-4880-B69C-B3F1D3AC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6D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E1EFB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C870C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87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70C9"/>
  </w:style>
  <w:style w:type="paragraph" w:styleId="Podnoje">
    <w:name w:val="footer"/>
    <w:basedOn w:val="Normal"/>
    <w:link w:val="PodnojeChar"/>
    <w:uiPriority w:val="99"/>
    <w:unhideWhenUsed/>
    <w:rsid w:val="00C87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70C9"/>
  </w:style>
  <w:style w:type="table" w:styleId="Reetkatablice">
    <w:name w:val="Table Grid"/>
    <w:basedOn w:val="Obinatablica"/>
    <w:uiPriority w:val="39"/>
    <w:rsid w:val="0025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Poilovlje Garešnica</cp:lastModifiedBy>
  <cp:revision>2</cp:revision>
  <cp:lastPrinted>2024-06-10T12:13:00Z</cp:lastPrinted>
  <dcterms:created xsi:type="dcterms:W3CDTF">2024-07-06T12:25:00Z</dcterms:created>
  <dcterms:modified xsi:type="dcterms:W3CDTF">2024-07-06T12:25:00Z</dcterms:modified>
</cp:coreProperties>
</file>