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ae071e8d8409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52581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USTANOVA ZA UPRAVLJANJE CENTROM ZA POSJETITELJE GAREŠNICA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141.706,04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196.113,07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140.491,31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195.933,37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1.214,73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3.973,41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3.787,34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2.758,68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3.607,64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130,8</w:t>
            </w:r>
          </w:p>
        </w:tc>
      </w:tr>
    </w:tbl>
    <w:p>
      <w:pPr>
        <w:spacing w:before="0" w:after="0"/>
      </w:pPr>
    </w:p>
    <w:p>
      <w:r>
        <w:t xml:space="preserve">Ukupni prihodi poslovanja iznose 196.113,07 eura što je porast za 38,4% u odnosu na isto razdoblje prethodne godine. Razlog takvog porasta su:  </w:t>
      </w:r>
    </w:p>
    <w:p>
      <w:r>
        <w:t xml:space="preserve">- Uspješne prijave na natječaje za dodjelu financijskih sredstava od subjekata unutar općeg proračuna. </w:t>
      </w:r>
    </w:p>
    <w:p>
      <w:r>
        <w:t xml:space="preserve">- Prihodi od prodaje proizvoda i robe te pruženih usluga su također porasle zbog povećanih marketinških aktivnosti koje su rezultirale povećanjem organiziranih dolazaka posjetitelja autobusima, a samim time povećanjem prodaja ulaznica i suvenira, te povećanje prodaje kino ulaznica.  </w:t>
      </w:r>
    </w:p>
    <w:p>
      <w:r>
        <w:t xml:space="preserve">- Nadležni proračun je u odnosu na isto razdoblje prethodne godine dodijelio više novčanih sredstava.  </w:t>
      </w:r>
    </w:p>
    <w:p>
      <w:r>
        <w:t xml:space="preserve">Ukupni rashodi poslovanja iznose 195.933,37 eura što je porast za 39,5% u odnosu na isto razdoblje prethodne godine. Razlog takvog porasta su:</w:t>
      </w:r>
    </w:p>
    <w:p>
      <w:r>
        <w:t xml:space="preserve"> - Rashodi za zaposlene su rasli u odnosu na isto razdoblje prethodne godine zbog porasta plaća i broja zaposlenih (jedan novozaposlen).  </w:t>
      </w:r>
    </w:p>
    <w:p>
      <w:r>
        <w:t xml:space="preserve">- Zbog povećanih aktivnosti došlo je do povećanja materijalnih rashoda (materijal i sirovine, službena putovanja, sitan inventar, kino projekcije, usluge promidžbe i informiranja, organizacija raznih izložbi).  </w:t>
      </w:r>
    </w:p>
    <w:p>
      <w:r>
        <w:t xml:space="preserve">Prihoda od prodaje nefinancijske imovine nije bilo.  </w:t>
      </w:r>
    </w:p>
    <w:p>
      <w:r>
        <w:t xml:space="preserve">Ukupni rashodi za nabavu nefinancijske imovine iznose 3.787,34 eura što je smanjenje za 4,7% u odnosu na isto razdoblje prethodne godine.</w:t>
      </w:r>
    </w:p>
    <w:p>
      <w:r>
        <w:t xml:space="preserve">U izvještajnom razdoblju nije bilo ostvarenih primitaka i izdataka od financijske imovine i zaduživanja.  </w:t>
      </w:r>
    </w:p>
    <w:p>
      <w:r>
        <w:t xml:space="preserve">U razdoblju od 1.siječnja do 31. prosinca 2025. ostvaren je višak prihoda poslovanja u iznosu od 179,70 eura, manjak prihoda od nefinancijske imovine u iznosu od 3.787,34 eura, slijedom čega je na kraju izvještajnog razdoblja ostvaren manjak prihoda i primitaka u iznosu od 3.607,64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Pomoći iz inozemstva i od subjekata unutar općeg proračuna iznose 1.700,00 eura zbog uspješnih prijava na natječaje za dodjelu financijskih sredstava od subjekata unutar općeg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17.153,61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31.746,02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185,1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 iznose 31.746,02 eura što je 85,1% više u odnosu na isto izvještajno razdoblje prethodne godine zbog povećanih marketinških aktivnosti koje su rezultirale povećanjem organiziranih dolazaka posjetitelja autobusima, a samim time povećanjem prodaja ulaznica i suvenira, te povećanje prodaje kino ulaznica.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124.552,43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162.667,05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130,6</w:t>
            </w:r>
          </w:p>
        </w:tc>
      </w:tr>
    </w:tbl>
    <w:p>
      <w:pPr>
        <w:spacing w:before="0" w:after="0"/>
      </w:pPr>
    </w:p>
    <w:p>
      <w:r>
        <w:t xml:space="preserve">Prihodi iz nadležnog proračuna iznose 162.667,05 eura što je 30,6% više u odnosu na isto izvještajno razdoblje prethodne godine jer je nadležni proračun u odnosu na isto razdoblje prethodne godine dodijelio više novčanih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100.730,43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136.229,40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135,2</w:t>
            </w:r>
          </w:p>
        </w:tc>
      </w:tr>
    </w:tbl>
    <w:p>
      <w:pPr>
        <w:spacing w:before="0" w:after="0"/>
      </w:pPr>
    </w:p>
    <w:p>
      <w:r>
        <w:t xml:space="preserve">Rashodi za zaposlene iznose 136.229,40 eura što je 35,2% više u odnosu na isto razdoblje prethodne godine zbog porasta plaća i broja zaposlenih (jedan novozaposlen).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39.760,88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59.703,97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150,2</w:t>
            </w:r>
          </w:p>
        </w:tc>
      </w:tr>
    </w:tbl>
    <w:p>
      <w:pPr>
        <w:spacing w:before="0" w:after="0"/>
      </w:pPr>
    </w:p>
    <w:p>
      <w:r>
        <w:t xml:space="preserve">Materijalni rashodi iznose 59.703,97 eura što je za 50,2% više u odnosu na isto izvještajno razdoblje prethodne godine jer je zbog povećanih aktivnosti došlo do povećanja materijalnih rashoda (materijal i sirovine, službena putovanja, sitan inventar, kino projekcije, usluge promidžbe i informiranja, organizacija raznih izložbi).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3.787,34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95,3</w:t>
            </w:r>
          </w:p>
        </w:tc>
      </w:tr>
    </w:tbl>
    <w:p>
      <w:pPr>
        <w:spacing w:before="0" w:after="0"/>
      </w:pPr>
    </w:p>
    <w:p>
      <w:r>
        <w:t xml:space="preserve">Ukupni rashodi za nabavu nefinancijske imovine iznose 3.787,34 eura što je smanjenje za 4,7% u odnosu na isto razdoblje prethodne 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7.328,60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8.232,26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r>
        <w:t xml:space="preserve">Proizvedena dugotrajna imovina iznosi 8.232,26 eura što je za 12,3% više u odnosu na isto razdoblje prethodne godine. Nabava postrojenja i opreme porasla je za 30,7%, uredske opreme i namještaja za 46,5%, osnovnog stada za 63,3%, te računalnih programa za 27,6%. Sukladno tome porasli su ispravci vrijednosti za ovu skupinu konta.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11.249,89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17.472,62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155,3</w:t>
            </w:r>
          </w:p>
        </w:tc>
      </w:tr>
    </w:tbl>
    <w:p>
      <w:pPr>
        <w:spacing w:before="0" w:after="0"/>
      </w:pPr>
    </w:p>
    <w:p>
      <w:r>
        <w:t xml:space="preserve">Sitan inventar i autogume u upotrebi iznose 17.472,62 eura što je za 55,3% više u odnosu na isto razdoblje prethodne godine. Sukladno tome porastao je ispravak vrijednosti sitnog inventara i autoguma u upotrebi u istom postotku.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84,0</w:t>
            </w:r>
          </w:p>
        </w:tc>
      </w:tr>
    </w:tbl>
    <w:p>
      <w:pPr>
        <w:spacing w:before="0" w:after="0"/>
      </w:pPr>
    </w:p>
    <w:p>
      <w:r>
        <w:t xml:space="preserve">Potraživanja za prihode poslovanja iznose 3.323,65 eura što je za 16% manje u odnosu na isto razdoblje prethodne godine, jer naplata potraživanja funkcionira dobro. Potraživanja proračunskih korisnika za sredstva uplaćena u nadležni proračun iznose 3.273,65 eur, a potraživanja za prihode od pruženih usluga 50,00 eura.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10.661,60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Obveze za zaposlene iznose 12.372,88 eura što je za 16,1% više u odnosu na isto razdoblje prethodne godine. Razlog povećanja je zapošljavanje novog djelatnika i porast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2.169,72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226,7</w:t>
            </w:r>
          </w:p>
        </w:tc>
      </w:tr>
    </w:tbl>
    <w:p>
      <w:pPr>
        <w:spacing w:before="0" w:after="0"/>
      </w:pPr>
    </w:p>
    <w:p>
      <w:r>
        <w:t xml:space="preserve">Obveze za materijalne rashode iznose 2.169,72 eura što je za 126,7% više u odnosu na isto razdoblje prethodne godine. Pred kraj godine zaprimljeno je više ulaznih računa koji sa 31.12.2025. nisu bili u dospijeću što je rezultiralo porastom obveza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2.294.148,52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Izvanbilančni zapisi - aktiva iznosi 2.294.148,52 eura, a odnose se na tuđu imovinu dobivenu na korištenje i njen ispravak vrijednosti s obzirom da je novim Pravilnikom o proračunskom računovodstvu i računskom planu obavezno voditi analitiku osnovnih sredstava od 1.1.2025.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2.294.148,52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Izvanbilančni zapisi - pasiva iznosi 2.294.148,52 eura, a odnose se na tuđu imovinu dobivenu na korištenje i njen ispravak vrijednosti s obzirom da je novim Pravilnikom o proračunskom računovodstvu i računskom planu obavezno voditi analitiku osnovnih sredstava od 1.1.2025.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unapređenja stanovanja i zajednice (šifre 061 do 066)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144.464,72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199.720,71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138,2</w:t>
            </w:r>
          </w:p>
        </w:tc>
      </w:tr>
    </w:tbl>
    <w:p>
      <w:pPr>
        <w:spacing w:before="0" w:after="0"/>
      </w:pPr>
    </w:p>
    <w:p>
      <w:r>
        <w:t xml:space="preserve">Funkcijska klasifikacija sadrži rashode razvrstane u skladu s njihovom namjenom. Rashodi Javne ustanove Garešnica klasificiraju se u razred 06 - Usluge unapređenja stanovanja i zajednice, skupinu 062 - Razvoj zajednice. Utrošena sredstva u 2025. godini iznose 199.720,71 eur što je porast u iznosu od 38,2%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Smanjenje vrijednosti imovine u iznosu od 2.883,68 eura odnosi se na provedeni ispravak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Javna ustanova za upravljanje Centrom za posjetitelje Garešnica nema dospjelih obveza na dan 31.12.2025.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bf602a9ec74f6a" /></Relationships>
</file>